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8C" w:rsidRPr="0025278C" w:rsidRDefault="0025278C" w:rsidP="0025278C">
      <w:pPr>
        <w:jc w:val="right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พลตำรวจตรีนายแพทย์ชุมศักดิ์ พฤกษาพงษ์</w:t>
      </w:r>
    </w:p>
    <w:p w:rsidR="0025278C" w:rsidRPr="0025278C" w:rsidRDefault="0025278C" w:rsidP="00C9015F">
      <w:pPr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bookmarkStart w:id="0" w:name="_GoBack"/>
      <w:bookmarkEnd w:id="0"/>
      <w:r w:rsidRPr="0025278C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ศัลยศาสตร์ปริทัศน์</w:t>
      </w:r>
    </w:p>
    <w:p w:rsidR="0025278C" w:rsidRPr="0025278C" w:rsidRDefault="0025278C" w:rsidP="0025278C">
      <w:pPr>
        <w:spacing w:line="276" w:lineRule="auto"/>
        <w:jc w:val="center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/>
          <w:b/>
          <w:bCs/>
          <w:sz w:val="32"/>
          <w:szCs w:val="32"/>
        </w:rPr>
        <w:t>Acute Abdomen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เมื่อสองทศวรรษที่แล้วมาสืบเนื่องจากกระบวนการยุติธรรมของประเทศที่ไม่เอื้อเฟื้อต่อผู้ประกอบวิชาชีพสุขภาพในขณะนั้นทำให้เกิดการฟ้องร้องทางอาญาและมีการพิพากษาจำคุกผู้ประกอบวิชาชีพเวชกรรมในโรงพยาบาลชุมชนแห่งหนึ่งทางภาคใต้ส่งผลให้โรงพยาบาลชุมชนเกือบทุกแห่งยุติการผ่าตัดที่ต้องมีบริการวิสัญญีประกอบ ผลก็คือในแต่ละชั่วโมงของแต่ละวันมีการส่งผู้ป่วยจากโรงพยาบาลชุมชนที่อาจต้องใช้การผ่าตัดรักษาต่อไปรับการรักษายังโรงพยาบาลชุมชนขนาดใหญ่หรือโรงพยาบาลทั่วไปที่มีความพร้อม ซึ่งเป็นการเพิ่มความเสี่ยงต่อการเกิดภาวะแทรกซ้อนมากขึ้นตามระยะเวลาที่ต้องเสียไปกับการส่งต่อ ผู้ป่วยในชุมชนต่างๆที่พอจะมีเศรษฐานะ อาจช่วยตัวเองโดยมุ่งตรงไปที่โรงพยาบาลเอกชนที่มีความพร้อมกว่าเพราะกฎหมายสถานพยาบาลบังคับ  ส่วนผู้ยากไร้อื่นๆต้องพึ่งพาบริการภาครัฐในการจัดพาหนะพร้อมบุคลากรฉุกเฉินไปส่งยังโรงพยาบาลที่ต้องรับผู้ป่วยตามหน้าที่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หนึ่งในภาวะฉุกเฉินที่เป็นปัญหาคือภาวะปวดท้องเฉียบพลันที่อาจต้องรักษาด้วยการผ่าตัดจึงจำเป็นอย่างยิ่งที่จะต้องมีการวินิจฉัยที่ถูกต้องที่สุดเพื่อไม่ให้เกิดความสูญเปล่าในการส่งต่อและเพื่อประโยชน์สูงสุดของผู้ป่วยที่จะมีโอกาสหายขาดได้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เพื่อให้ระบบบริการตอบสนองผู้ป่วยดีขึ้นกว่าที่เป็นอยู่  กระทรวงสาธารณสุขโดยคณะกรรมการพัฒนาระบบบริการสุขภาพ (</w:t>
      </w:r>
      <w:r w:rsidRPr="0025278C">
        <w:rPr>
          <w:rFonts w:ascii="Angsana New" w:hAnsi="Angsana New" w:cs="Angsana New"/>
          <w:sz w:val="32"/>
          <w:szCs w:val="32"/>
        </w:rPr>
        <w:t>Service Plan</w:t>
      </w:r>
      <w:r w:rsidRPr="0025278C">
        <w:rPr>
          <w:rFonts w:ascii="Angsana New" w:hAnsi="Angsana New" w:cs="Angsana New" w:hint="cs"/>
          <w:sz w:val="32"/>
          <w:szCs w:val="32"/>
          <w:cs/>
        </w:rPr>
        <w:t>)สาขาศัลยกรรมได้กำหนดภาวะปวดท้องฉุกเฉิน 5 ภาวะคือภาวะไส้ติ่งอักเสบ</w:t>
      </w:r>
      <w:r w:rsidRPr="0025278C">
        <w:rPr>
          <w:rFonts w:ascii="Angsana New" w:hAnsi="Angsana New" w:cs="Angsana New" w:hint="cs"/>
          <w:sz w:val="32"/>
          <w:szCs w:val="32"/>
        </w:rPr>
        <w:t>,</w:t>
      </w:r>
      <w:r w:rsidRPr="0025278C">
        <w:rPr>
          <w:rFonts w:ascii="Angsana New" w:hAnsi="Angsana New" w:cs="Angsana New" w:hint="cs"/>
          <w:sz w:val="32"/>
          <w:szCs w:val="32"/>
          <w:cs/>
        </w:rPr>
        <w:t>ภาวะถุงน้ำดีหรือท่อน้ำดีอักเสบเฉียบพลัน</w:t>
      </w:r>
      <w:r w:rsidRPr="0025278C">
        <w:rPr>
          <w:rFonts w:ascii="Angsana New" w:hAnsi="Angsana New" w:cs="Angsana New" w:hint="cs"/>
          <w:sz w:val="32"/>
          <w:szCs w:val="32"/>
        </w:rPr>
        <w:t>,</w:t>
      </w:r>
      <w:r w:rsidRPr="0025278C">
        <w:rPr>
          <w:rFonts w:ascii="Angsana New" w:hAnsi="Angsana New" w:cs="Angsana New" w:hint="cs"/>
          <w:sz w:val="32"/>
          <w:szCs w:val="32"/>
          <w:cs/>
        </w:rPr>
        <w:t>ตับอ่อนอักเสบเฉียบพลัน</w:t>
      </w:r>
      <w:r w:rsidRPr="0025278C">
        <w:rPr>
          <w:rFonts w:ascii="Angsana New" w:hAnsi="Angsana New" w:cs="Angsana New" w:hint="cs"/>
          <w:sz w:val="32"/>
          <w:szCs w:val="32"/>
        </w:rPr>
        <w:t>,</w:t>
      </w:r>
      <w:r w:rsidRPr="0025278C">
        <w:rPr>
          <w:rFonts w:ascii="Angsana New" w:hAnsi="Angsana New" w:cs="Angsana New" w:hint="cs"/>
          <w:sz w:val="32"/>
          <w:szCs w:val="32"/>
          <w:cs/>
        </w:rPr>
        <w:t>ลำไส้อุดตันเฉียบพลัน และแผลเป็บติดทะลุ ที่จะต้องพัฒนาระบบให้ประชาชนเข้าถึงบริการได้อย่างมีคุณภาพและประสิทธิภาพตั้งแต่ปี พ.ศ.2560 เป็นต้นไป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คณะกรรมการ </w:t>
      </w:r>
      <w:r w:rsidRPr="0025278C">
        <w:rPr>
          <w:rFonts w:ascii="Angsana New" w:hAnsi="Angsana New" w:cs="Angsana New"/>
          <w:sz w:val="32"/>
          <w:szCs w:val="32"/>
        </w:rPr>
        <w:t>Service Plan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 สาขาศัลยกรรมของกระทรวงสาธารณสุขได้จัดตั้งคณะทำงานระดับชาติเพื่อพัฒนาแนวทางการดูแลผู้ป่วยปวดท้องเฉียบพลันและภาวะแขนขาขาดเลือด โดยร่วมมือกับราชวิทยาลัยศัลยแพทย์แห่งประเทศไทยและราชวิทยาลัยวิสัญญีแพทย์แห่งประเทศไทยเพื่อจัดทำแนวทางการดูแลผู้ป่วยเฉียบพลันดังกล่าวให้เป็นแนวทางมาตฐานการดูแล (</w:t>
      </w:r>
      <w:r w:rsidRPr="0025278C">
        <w:rPr>
          <w:rFonts w:ascii="Angsana New" w:hAnsi="Angsana New" w:cs="Angsana New"/>
          <w:sz w:val="32"/>
          <w:szCs w:val="32"/>
        </w:rPr>
        <w:t>Systemic Practice Guideline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)ในระดับจังหวัดและระดับเขตสุขภาพที่ชัดเจนตามคำสั่งสาธารณสุข ที่ 129/2560 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อนุกรรมการชุดนี้มีนายแพทย์ชาญเวช ศรัทธาพุทธ เป็นประธานและมีอนุกรรมการจากสมาคมศัลยแพทย์แห่งประเทศไทยฯ และศัลยแพทย์จากระทรวงสาธารณสุขรวม 22 นาย ซึ่งขณะนี้อนุกรรมการฯได้ประชุมพิจารณาและกำหนดแนวทางการดูแลผู้ป่วยปวดท้องเฉียบพลันตีพิมพ์เป็นคู่มือเผยแพร่ในปี 2561 แล้ว โดยมีเนื้อหาสาระที่ครอบคลุมปัญหาการวินิจฉัยแนวทางการซักประวัติและตรวจร่างกาย</w:t>
      </w:r>
      <w:r w:rsidRPr="0025278C">
        <w:rPr>
          <w:rFonts w:ascii="Angsana New" w:hAnsi="Angsana New" w:cs="Angsana New" w:hint="cs"/>
          <w:sz w:val="32"/>
          <w:szCs w:val="32"/>
        </w:rPr>
        <w:t>,</w:t>
      </w:r>
      <w:r w:rsidRPr="0025278C">
        <w:rPr>
          <w:rFonts w:ascii="Angsana New" w:hAnsi="Angsana New" w:cs="Angsana New" w:hint="cs"/>
          <w:sz w:val="32"/>
          <w:szCs w:val="32"/>
          <w:cs/>
        </w:rPr>
        <w:t>คำแนะนำในการดูแลรักษาภาวะปวดเท้องเฉียบพลันในระบบบริการสุขภาพระดับต่างๆ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ข้อแนะนำที่สำคัญคือถ้าหากการตรวจรักษายังวินิจฉัยไม่ได้ชัดเจนว่ามีการติดเชื้อในช่องท้องหรือไม่แล้วก็ไม่ควรให้ยาปฏิชีวนะหรือยาบรรเทาการหดเกร็งของลำไส้ (</w:t>
      </w:r>
      <w:r w:rsidRPr="0025278C">
        <w:rPr>
          <w:rFonts w:ascii="Angsana New" w:hAnsi="Angsana New" w:cs="Angsana New"/>
          <w:sz w:val="32"/>
          <w:szCs w:val="32"/>
        </w:rPr>
        <w:t>Antispasmodic</w:t>
      </w:r>
      <w:r w:rsidRPr="0025278C">
        <w:rPr>
          <w:rFonts w:ascii="Angsana New" w:hAnsi="Angsana New" w:cs="Angsana New" w:hint="cs"/>
          <w:sz w:val="32"/>
          <w:szCs w:val="32"/>
          <w:cs/>
        </w:rPr>
        <w:t>)ซึ่งควรเป็นข้อพึงปฏิบัติของแพทย์ทุกโรงพยาบาลชุมชน โดยจะต้องมีแพทย์คอยประเมินและติดตามผู้ป่วยอย่างใกล้ชิด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 xml:space="preserve"> ครั้นเมื่อวินิจฉัยได้จนจะต้องทำการผ่าตัดแน่แล้ว ก็ควรจะให้ยาปฏิชีวนะเพื่อการป้องกันและ/หรือรักษาภาวะติดเชื้อ โดยคู่มือได้จัดทำตารางยาปฏิชีวนะให้เลือกใช้ตามเงื่อนไขต่างๆ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 xml:space="preserve">ข้อสังเกตที่สำคัญอีกประการหนึ่งคือเด็กที่มีอาการปวดท้องเฉียบพลันนี้จะเป็น </w:t>
      </w:r>
      <w:r w:rsidRPr="0025278C">
        <w:rPr>
          <w:rFonts w:ascii="Angsana New" w:hAnsi="Angsana New" w:cs="Angsana New"/>
          <w:sz w:val="32"/>
          <w:szCs w:val="32"/>
        </w:rPr>
        <w:t>Surgical Abdomen</w:t>
      </w:r>
      <w:r w:rsidRPr="0025278C">
        <w:rPr>
          <w:rFonts w:ascii="Angsana New" w:hAnsi="Angsana New" w:cs="Angsana New" w:hint="cs"/>
          <w:sz w:val="32"/>
          <w:szCs w:val="32"/>
          <w:cs/>
        </w:rPr>
        <w:t>เพียง 2</w:t>
      </w:r>
      <w:r w:rsidRPr="0025278C">
        <w:rPr>
          <w:rFonts w:ascii="Angsana New" w:hAnsi="Angsana New" w:cs="Angsana New"/>
          <w:sz w:val="32"/>
          <w:szCs w:val="32"/>
          <w:cs/>
        </w:rPr>
        <w:t xml:space="preserve">% </w:t>
      </w:r>
      <w:r w:rsidRPr="0025278C">
        <w:rPr>
          <w:rFonts w:ascii="Angsana New" w:hAnsi="Angsana New" w:cs="Angsana New" w:hint="cs"/>
          <w:sz w:val="32"/>
          <w:szCs w:val="32"/>
          <w:cs/>
        </w:rPr>
        <w:t>เท่านั้น ผู้เขียนเคยได้รับข้อสังเกตจากศัลยแพทย์อาวุโสหลายท่านว่าอาการเบื่ออาหารเป็นอาการสำคัญของเด็กที่เป็นไส้ติ่งอักเสบ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 xml:space="preserve">เมื่อพิจารณาจากระดับของโรงพยาบาลในเครือข่ายกระทรวงสาธารณสุขแล้วจะพบว่ามีโรงพยาบาลระดับ </w:t>
      </w:r>
      <w:r w:rsidRPr="0025278C">
        <w:rPr>
          <w:rFonts w:ascii="Angsana New" w:hAnsi="Angsana New" w:cs="Angsana New"/>
          <w:sz w:val="32"/>
          <w:szCs w:val="32"/>
        </w:rPr>
        <w:t xml:space="preserve">A </w:t>
      </w:r>
      <w:r w:rsidRPr="0025278C">
        <w:rPr>
          <w:rFonts w:ascii="Angsana New" w:hAnsi="Angsana New" w:cs="Angsana New" w:hint="cs"/>
          <w:sz w:val="32"/>
          <w:szCs w:val="32"/>
          <w:cs/>
        </w:rPr>
        <w:t>(</w:t>
      </w:r>
      <w:r w:rsidRPr="0025278C">
        <w:rPr>
          <w:rFonts w:ascii="Angsana New" w:hAnsi="Angsana New" w:cs="Angsana New"/>
          <w:sz w:val="32"/>
          <w:szCs w:val="32"/>
        </w:rPr>
        <w:t>Advanced  Level  Hospital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)ทั่วประเทศ 33 แห่ง ระดับ </w:t>
      </w:r>
      <w:r w:rsidRPr="0025278C">
        <w:rPr>
          <w:rFonts w:ascii="Angsana New" w:hAnsi="Angsana New" w:cs="Angsana New"/>
          <w:sz w:val="32"/>
          <w:szCs w:val="32"/>
        </w:rPr>
        <w:t xml:space="preserve">S </w:t>
      </w:r>
      <w:r w:rsidRPr="0025278C">
        <w:rPr>
          <w:rFonts w:ascii="Angsana New" w:hAnsi="Angsana New" w:cs="Angsana New" w:hint="cs"/>
          <w:sz w:val="32"/>
          <w:szCs w:val="32"/>
          <w:cs/>
        </w:rPr>
        <w:t>(</w:t>
      </w:r>
      <w:r w:rsidRPr="0025278C">
        <w:rPr>
          <w:rFonts w:ascii="Angsana New" w:hAnsi="Angsana New" w:cs="Angsana New"/>
          <w:sz w:val="32"/>
          <w:szCs w:val="32"/>
        </w:rPr>
        <w:t>Standard Level  Hospital</w:t>
      </w:r>
      <w:r w:rsidRPr="0025278C">
        <w:rPr>
          <w:rFonts w:ascii="Angsana New" w:hAnsi="Angsana New" w:cs="Angsana New" w:hint="cs"/>
          <w:sz w:val="32"/>
          <w:szCs w:val="32"/>
          <w:cs/>
        </w:rPr>
        <w:t>)50 แห่ง ส่วน</w:t>
      </w:r>
      <w:r w:rsidRPr="0025278C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ระดับ </w:t>
      </w:r>
      <w:r w:rsidRPr="0025278C">
        <w:rPr>
          <w:rFonts w:ascii="Angsana New" w:hAnsi="Angsana New" w:cs="Angsana New"/>
          <w:sz w:val="32"/>
          <w:szCs w:val="32"/>
        </w:rPr>
        <w:t xml:space="preserve">M </w:t>
      </w:r>
      <w:r w:rsidRPr="0025278C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25278C">
        <w:rPr>
          <w:rFonts w:ascii="Angsana New" w:hAnsi="Angsana New" w:cs="Angsana New"/>
          <w:sz w:val="32"/>
          <w:szCs w:val="32"/>
        </w:rPr>
        <w:t>Mid  Level</w:t>
      </w:r>
      <w:proofErr w:type="spellEnd"/>
      <w:r w:rsidRPr="0025278C">
        <w:rPr>
          <w:rFonts w:ascii="Angsana New" w:hAnsi="Angsana New" w:cs="Angsana New"/>
          <w:sz w:val="32"/>
          <w:szCs w:val="32"/>
        </w:rPr>
        <w:t xml:space="preserve">  Hospital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)นั้นยังแบ่งเป็น </w:t>
      </w:r>
      <w:r w:rsidRPr="0025278C">
        <w:rPr>
          <w:rFonts w:ascii="Angsana New" w:hAnsi="Angsana New" w:cs="Angsana New"/>
          <w:sz w:val="32"/>
          <w:szCs w:val="32"/>
        </w:rPr>
        <w:t xml:space="preserve">M1  34 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แห่ง </w:t>
      </w:r>
      <w:r w:rsidRPr="0025278C">
        <w:rPr>
          <w:rFonts w:ascii="Angsana New" w:hAnsi="Angsana New" w:cs="Angsana New"/>
          <w:sz w:val="32"/>
          <w:szCs w:val="32"/>
        </w:rPr>
        <w:t xml:space="preserve">M2 86 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แห่ง (120 เตียงขึ้นไป) ที่อาจให้บริการตติยภูมิได้ นอกนั้นก็จะเป็นระดับ </w:t>
      </w:r>
      <w:r w:rsidRPr="0025278C">
        <w:rPr>
          <w:rFonts w:ascii="Angsana New" w:hAnsi="Angsana New" w:cs="Angsana New"/>
          <w:sz w:val="32"/>
          <w:szCs w:val="32"/>
        </w:rPr>
        <w:t xml:space="preserve">F </w:t>
      </w:r>
      <w:r w:rsidRPr="0025278C">
        <w:rPr>
          <w:rFonts w:ascii="Angsana New" w:hAnsi="Angsana New" w:cs="Angsana New" w:hint="cs"/>
          <w:sz w:val="32"/>
          <w:szCs w:val="32"/>
          <w:cs/>
        </w:rPr>
        <w:t>(</w:t>
      </w:r>
      <w:r w:rsidRPr="0025278C">
        <w:rPr>
          <w:rFonts w:ascii="Angsana New" w:hAnsi="Angsana New" w:cs="Angsana New"/>
          <w:sz w:val="32"/>
          <w:szCs w:val="32"/>
        </w:rPr>
        <w:t>First Level  Hospital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)ระดับ </w:t>
      </w:r>
      <w:r w:rsidRPr="0025278C">
        <w:rPr>
          <w:rFonts w:ascii="Angsana New" w:hAnsi="Angsana New" w:cs="Angsana New"/>
          <w:sz w:val="32"/>
          <w:szCs w:val="32"/>
        </w:rPr>
        <w:t xml:space="preserve">F1,F2,F3, 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ที่บางแห่งอาจมีห้องผ่าตัด ส่วนระดับ </w:t>
      </w:r>
      <w:r w:rsidRPr="0025278C">
        <w:rPr>
          <w:rFonts w:ascii="Angsana New" w:hAnsi="Angsana New" w:cs="Angsana New"/>
          <w:sz w:val="32"/>
          <w:szCs w:val="32"/>
        </w:rPr>
        <w:t xml:space="preserve">P 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เป็นสถานบริการสุขภาพตั้งแต่ </w:t>
      </w:r>
      <w:r w:rsidRPr="0025278C">
        <w:rPr>
          <w:rFonts w:ascii="Angsana New" w:hAnsi="Angsana New" w:cs="Angsana New"/>
          <w:sz w:val="32"/>
          <w:szCs w:val="32"/>
        </w:rPr>
        <w:t xml:space="preserve">P1 </w:t>
      </w:r>
      <w:r w:rsidRPr="0025278C">
        <w:rPr>
          <w:rFonts w:ascii="Angsana New" w:hAnsi="Angsana New" w:cs="Angsana New" w:hint="cs"/>
          <w:sz w:val="32"/>
          <w:szCs w:val="32"/>
          <w:cs/>
        </w:rPr>
        <w:t>(ศูนย์สุขภาพชุมชนเมือง 328 แห่ง)</w:t>
      </w:r>
      <w:r w:rsidRPr="0025278C">
        <w:rPr>
          <w:rFonts w:ascii="Angsana New" w:hAnsi="Angsana New" w:cs="Angsana New"/>
          <w:sz w:val="32"/>
          <w:szCs w:val="32"/>
        </w:rPr>
        <w:t xml:space="preserve">P2 </w:t>
      </w:r>
      <w:r w:rsidRPr="0025278C">
        <w:rPr>
          <w:rFonts w:ascii="Angsana New" w:hAnsi="Angsana New" w:cs="Angsana New" w:hint="cs"/>
          <w:sz w:val="32"/>
          <w:szCs w:val="32"/>
          <w:cs/>
        </w:rPr>
        <w:t>รพ.สต. 9</w:t>
      </w:r>
      <w:r w:rsidRPr="0025278C">
        <w:rPr>
          <w:rFonts w:ascii="Angsana New" w:hAnsi="Angsana New" w:cs="Angsana New" w:hint="cs"/>
          <w:sz w:val="32"/>
          <w:szCs w:val="32"/>
        </w:rPr>
        <w:t>,</w:t>
      </w:r>
      <w:r w:rsidRPr="0025278C">
        <w:rPr>
          <w:rFonts w:ascii="Angsana New" w:hAnsi="Angsana New" w:cs="Angsana New" w:hint="cs"/>
          <w:sz w:val="32"/>
          <w:szCs w:val="32"/>
          <w:cs/>
        </w:rPr>
        <w:t xml:space="preserve">766 แห่ง และ </w:t>
      </w:r>
      <w:r w:rsidRPr="0025278C">
        <w:rPr>
          <w:rFonts w:ascii="Angsana New" w:hAnsi="Angsana New" w:cs="Angsana New"/>
          <w:sz w:val="32"/>
          <w:szCs w:val="32"/>
        </w:rPr>
        <w:t xml:space="preserve">P3 </w:t>
      </w:r>
      <w:r w:rsidRPr="0025278C">
        <w:rPr>
          <w:rFonts w:ascii="Angsana New" w:hAnsi="Angsana New" w:cs="Angsana New" w:hint="cs"/>
          <w:sz w:val="32"/>
          <w:szCs w:val="32"/>
          <w:cs/>
        </w:rPr>
        <w:t>(สถานบริการสาธารณสุขชุมชน 184 แห่ง)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จึงเห็นได้ชัดว่าผู้ป่วยปวดท้องเฉียบพลันทางศัลยกรรมยังต้องฟันฝ่าอุปสรรคอีกมากกว่าจะได้รับบริการที่เหมาะสมและทันท่วงที</w:t>
      </w:r>
    </w:p>
    <w:p w:rsidR="0025278C" w:rsidRPr="0025278C" w:rsidRDefault="0025278C" w:rsidP="0025278C">
      <w:pPr>
        <w:spacing w:line="276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25278C">
        <w:rPr>
          <w:rFonts w:ascii="Angsana New" w:hAnsi="Angsana New" w:cs="Angsana New" w:hint="cs"/>
          <w:sz w:val="32"/>
          <w:szCs w:val="32"/>
          <w:cs/>
        </w:rPr>
        <w:t>ผู้เขียนมีข้อสังเกตเพิ่มเติมว่าคณะอนุกรรมการฯ มิได้พิจารณาถึงทางเลือกอื่นๆในการวินิจฉัยและการรักษาที่มีข้อมูลประจักษ์ทางการแพทย์สนับสนุนอยู่พอสมควรเช่นการเพิ่มความแม่นยำของการวินิจฉัยโรคไส้ติ่งอักเสบด้วยคอมพิวเตอร์เอกซเรย์ โดยเฉพาะอย่างยิ่งในรายที่ก้ำกึ่งระหว่างเป็นหรือไม่เป็นไส้ติ่งอักเสบกันแน่ อีกประการหนึ่งคือการให้ยาปฏิชีวนะอย่างเต็มที่เพื่อบำบัดภาวะไส้ติ่งอักเสบระยะแรกเริ่มที่มีหลักฐานว่าได้ผล ก็ไม่ได้มีการพูดถึงในคู่มือ ซึ่งคงจะเป็นเรื่องของความเหมาะสมในบริบทแบบไทยๆ ที่ยังไม่อยากจะก้าวล่วงจนเกิดความสับสนในทางปฏิบัติ</w:t>
      </w:r>
    </w:p>
    <w:p w:rsidR="004C35F8" w:rsidRPr="0025278C" w:rsidRDefault="004C35F8" w:rsidP="00EE6725">
      <w:pPr>
        <w:rPr>
          <w:sz w:val="32"/>
          <w:szCs w:val="32"/>
        </w:rPr>
      </w:pPr>
    </w:p>
    <w:sectPr w:rsidR="004C35F8" w:rsidRPr="0025278C" w:rsidSect="007B3F3E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F7" w:rsidRDefault="009944F7" w:rsidP="006F6917">
      <w:pPr>
        <w:spacing w:after="0" w:line="240" w:lineRule="auto"/>
      </w:pPr>
      <w:r>
        <w:separator/>
      </w:r>
    </w:p>
  </w:endnote>
  <w:endnote w:type="continuationSeparator" w:id="0">
    <w:p w:rsidR="009944F7" w:rsidRDefault="009944F7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</w:t>
    </w:r>
    <w:r w:rsidR="007B3F3E">
      <w:rPr>
        <w:rFonts w:ascii="Cordia New" w:hAnsi="Cordia New"/>
        <w:b/>
        <w:bCs/>
        <w:sz w:val="24"/>
        <w:szCs w:val="24"/>
      </w:rPr>
      <w:t>________________________</w:t>
    </w:r>
  </w:p>
  <w:p w:rsidR="007B3F3E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1A7811" w:rsidRDefault="00697AC1" w:rsidP="007B3F3E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 w:rsidR="007B3F3E">
      <w:rPr>
        <w:rFonts w:ascii="Cordia New" w:hAnsi="Cordia New" w:hint="cs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127072">
      <w:rPr>
        <w:rFonts w:ascii="Cordia New" w:hAnsi="Cordia New"/>
        <w:b/>
        <w:bCs/>
        <w:sz w:val="24"/>
        <w:szCs w:val="24"/>
      </w:rPr>
      <w:t>60</w:t>
    </w:r>
    <w:r w:rsidR="007B3F3E">
      <w:rPr>
        <w:rFonts w:ascii="Cordia New" w:hAnsi="Cordia New" w:hint="cs"/>
        <w:b/>
        <w:bCs/>
        <w:sz w:val="24"/>
        <w:szCs w:val="24"/>
        <w:cs/>
      </w:rPr>
      <w:t xml:space="preserve"> </w:t>
    </w:r>
    <w:r>
      <w:rPr>
        <w:rFonts w:ascii="Cordia New" w:hAnsi="Cordia New"/>
        <w:b/>
        <w:bCs/>
        <w:sz w:val="24"/>
        <w:szCs w:val="24"/>
        <w:cs/>
      </w:rPr>
      <w:t>(</w:t>
    </w:r>
    <w:r w:rsidR="007B3F3E">
      <w:rPr>
        <w:rFonts w:ascii="Cordia New" w:hAnsi="Cordia New"/>
        <w:b/>
        <w:bCs/>
        <w:sz w:val="24"/>
        <w:szCs w:val="24"/>
      </w:rPr>
      <w:t>1</w:t>
    </w:r>
    <w:r>
      <w:rPr>
        <w:rFonts w:ascii="Cordia New" w:hAnsi="Cordia New"/>
        <w:b/>
        <w:bCs/>
        <w:sz w:val="24"/>
        <w:szCs w:val="24"/>
        <w:cs/>
      </w:rPr>
      <w:t>):</w:t>
    </w:r>
    <w:r w:rsidR="00786522">
      <w:rPr>
        <w:rFonts w:ascii="Cordia New" w:hAnsi="Cordia New"/>
        <w:b/>
        <w:bCs/>
        <w:sz w:val="24"/>
        <w:szCs w:val="24"/>
        <w:cs/>
      </w:rPr>
      <w:t xml:space="preserve"> </w:t>
    </w:r>
    <w:r w:rsidR="0025278C" w:rsidRPr="0025278C">
      <w:rPr>
        <w:rFonts w:ascii="Cordia New" w:hAnsi="Cordia New"/>
        <w:b/>
        <w:bCs/>
        <w:sz w:val="24"/>
        <w:szCs w:val="24"/>
      </w:rPr>
      <w:fldChar w:fldCharType="begin"/>
    </w:r>
    <w:r w:rsidR="0025278C" w:rsidRPr="0025278C">
      <w:rPr>
        <w:rFonts w:ascii="Cordia New" w:hAnsi="Cordia New"/>
        <w:b/>
        <w:bCs/>
        <w:sz w:val="24"/>
        <w:szCs w:val="24"/>
      </w:rPr>
      <w:instrText>PAGE   \</w:instrText>
    </w:r>
    <w:r w:rsidR="0025278C" w:rsidRPr="0025278C">
      <w:rPr>
        <w:rFonts w:ascii="Cordia New" w:hAnsi="Cordia New"/>
        <w:b/>
        <w:bCs/>
        <w:sz w:val="24"/>
        <w:szCs w:val="24"/>
        <w:cs/>
      </w:rPr>
      <w:instrText xml:space="preserve">* </w:instrText>
    </w:r>
    <w:r w:rsidR="0025278C" w:rsidRPr="0025278C">
      <w:rPr>
        <w:rFonts w:ascii="Cordia New" w:hAnsi="Cordia New"/>
        <w:b/>
        <w:bCs/>
        <w:sz w:val="24"/>
        <w:szCs w:val="24"/>
      </w:rPr>
      <w:instrText>MERGEFORMAT</w:instrText>
    </w:r>
    <w:r w:rsidR="0025278C" w:rsidRPr="0025278C">
      <w:rPr>
        <w:rFonts w:ascii="Cordia New" w:hAnsi="Cordia New"/>
        <w:b/>
        <w:bCs/>
        <w:sz w:val="24"/>
        <w:szCs w:val="24"/>
      </w:rPr>
      <w:fldChar w:fldCharType="separate"/>
    </w:r>
    <w:r w:rsidR="007B3F3E" w:rsidRPr="007B3F3E">
      <w:rPr>
        <w:rFonts w:ascii="Cordia New" w:hAnsi="Cordia New"/>
        <w:b/>
        <w:bCs/>
        <w:noProof/>
        <w:sz w:val="24"/>
        <w:szCs w:val="24"/>
        <w:lang w:val="th-TH"/>
      </w:rPr>
      <w:t>3</w:t>
    </w:r>
    <w:r w:rsidR="0025278C" w:rsidRPr="0025278C">
      <w:rPr>
        <w:rFonts w:ascii="Cordia New" w:hAnsi="Cordia New"/>
        <w:b/>
        <w:bCs/>
        <w:sz w:val="24"/>
        <w:szCs w:val="24"/>
      </w:rPr>
      <w:fldChar w:fldCharType="end"/>
    </w:r>
    <w:r>
      <w:rPr>
        <w:rFonts w:ascii="Cordia New" w:hAnsi="Cordia New"/>
        <w:b/>
        <w:bCs/>
        <w:sz w:val="24"/>
        <w:szCs w:val="24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F7" w:rsidRDefault="009944F7" w:rsidP="006F6917">
      <w:pPr>
        <w:spacing w:after="0" w:line="240" w:lineRule="auto"/>
      </w:pPr>
      <w:r>
        <w:separator/>
      </w:r>
    </w:p>
  </w:footnote>
  <w:footnote w:type="continuationSeparator" w:id="0">
    <w:p w:rsidR="009944F7" w:rsidRDefault="009944F7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8E44E5">
          <w:pPr>
            <w:pStyle w:val="Header"/>
          </w:pPr>
          <w:r w:rsidRPr="00EE0EF5">
            <w:rPr>
              <w:noProof/>
            </w:rPr>
            <w:drawing>
              <wp:inline distT="0" distB="0" distL="0" distR="0">
                <wp:extent cx="1076325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="007B3F3E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ags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8E44E5" w:rsidP="00EE0EF5">
          <w:pPr>
            <w:pStyle w:val="Header"/>
            <w:jc w:val="center"/>
          </w:pPr>
          <w:r w:rsidRPr="00EE0EF5">
            <w:rPr>
              <w:noProof/>
            </w:rPr>
            <w:drawing>
              <wp:inline distT="0" distB="0" distL="0" distR="0">
                <wp:extent cx="742950" cy="10572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22"/>
    <w:multiLevelType w:val="hybridMultilevel"/>
    <w:tmpl w:val="68BC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FF7"/>
    <w:multiLevelType w:val="hybridMultilevel"/>
    <w:tmpl w:val="CDD2690E"/>
    <w:lvl w:ilvl="0" w:tplc="A7F02C0A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05672"/>
    <w:multiLevelType w:val="hybridMultilevel"/>
    <w:tmpl w:val="2EE6B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12DF0"/>
    <w:multiLevelType w:val="multilevel"/>
    <w:tmpl w:val="03F41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17F4943"/>
    <w:multiLevelType w:val="hybridMultilevel"/>
    <w:tmpl w:val="91FE3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7"/>
    <w:rsid w:val="00040ADC"/>
    <w:rsid w:val="000D1772"/>
    <w:rsid w:val="000F0CC6"/>
    <w:rsid w:val="00127072"/>
    <w:rsid w:val="001A7047"/>
    <w:rsid w:val="001A7811"/>
    <w:rsid w:val="001D46E9"/>
    <w:rsid w:val="00233645"/>
    <w:rsid w:val="0025278C"/>
    <w:rsid w:val="00253355"/>
    <w:rsid w:val="002D4082"/>
    <w:rsid w:val="002E40E7"/>
    <w:rsid w:val="003C740B"/>
    <w:rsid w:val="00454929"/>
    <w:rsid w:val="00491FF2"/>
    <w:rsid w:val="00493B88"/>
    <w:rsid w:val="004C35F8"/>
    <w:rsid w:val="004D7347"/>
    <w:rsid w:val="004F220E"/>
    <w:rsid w:val="00614C6E"/>
    <w:rsid w:val="00677645"/>
    <w:rsid w:val="00697AC1"/>
    <w:rsid w:val="006F6917"/>
    <w:rsid w:val="00763A54"/>
    <w:rsid w:val="00786522"/>
    <w:rsid w:val="007913CE"/>
    <w:rsid w:val="007B3F3E"/>
    <w:rsid w:val="008E44E5"/>
    <w:rsid w:val="009944F7"/>
    <w:rsid w:val="009B0889"/>
    <w:rsid w:val="00AB5B91"/>
    <w:rsid w:val="00C076F7"/>
    <w:rsid w:val="00C14EBA"/>
    <w:rsid w:val="00C9015F"/>
    <w:rsid w:val="00CF2DDD"/>
    <w:rsid w:val="00D72C1C"/>
    <w:rsid w:val="00E01735"/>
    <w:rsid w:val="00E13ED8"/>
    <w:rsid w:val="00E72B0D"/>
    <w:rsid w:val="00EE0EF5"/>
    <w:rsid w:val="00EE6725"/>
    <w:rsid w:val="00F35230"/>
    <w:rsid w:val="00F87ADB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C19E9"/>
  <w15:chartTrackingRefBased/>
  <w15:docId w15:val="{66223886-6AD9-4D82-AC74-77F9330D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9E73-3693-44AA-924B-472062CB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5</cp:revision>
  <dcterms:created xsi:type="dcterms:W3CDTF">2018-09-12T04:23:00Z</dcterms:created>
  <dcterms:modified xsi:type="dcterms:W3CDTF">2018-11-16T13:26:00Z</dcterms:modified>
</cp:coreProperties>
</file>