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line="360" w:lineRule="auto"/>
        <w:rPr>
          <w:sz w:val="24"/>
          <w:szCs w:val="24"/>
        </w:rPr>
      </w:pPr>
      <w:r>
        <w:rPr>
          <w:b/>
          <w:bCs/>
          <w:sz w:val="24"/>
          <w:szCs w:val="24"/>
        </w:rPr>
        <w:t>SUPPLEMENTARY MATERIALS</w:t>
      </w:r>
    </w:p>
    <w:p>
      <w:pPr>
        <w:spacing w:line="360" w:lineRule="auto"/>
        <w:jc w:val="both"/>
        <w:rPr>
          <w:sz w:val="24"/>
          <w:szCs w:val="24"/>
        </w:rPr>
      </w:pPr>
      <w:bookmarkStart w:id="0" w:name="_Hlk239754874"/>
      <w:bookmarkEnd w:id="0"/>
      <w:r>
        <w:rPr>
          <w:b/>
          <w:bCs/>
          <w:sz w:val="24"/>
          <w:szCs w:val="24"/>
        </w:rPr>
        <w:t xml:space="preserve">Supplementary Table S1. </w:t>
      </w:r>
      <w:r>
        <w:rPr>
          <w:sz w:val="24"/>
          <w:szCs w:val="24"/>
        </w:rPr>
        <w:t>Isolate-level susceptibility results, number of antimicrobial classes evaluated, and MDR classification for all 58</w:t>
      </w:r>
      <w:r>
        <w:rPr>
          <w:color w:val="FF0000"/>
          <w:sz w:val="24"/>
          <w:szCs w:val="24"/>
          <w:highlight w:val="green"/>
        </w:rPr>
        <w:t xml:space="preserve"> isolates under the primary definition and the broader nine-category sensitivity analysis.</w:t>
      </w:r>
    </w:p>
    <w:p>
      <w:pPr>
        <w:spacing w:line="360" w:lineRule="auto"/>
        <w:jc w:val="both"/>
        <w:rPr>
          <w:sz w:val="24"/>
          <w:szCs w:val="24"/>
        </w:rPr>
      </w:pPr>
      <w:r>
        <w:rPr>
          <w:b/>
          <w:bCs/>
          <w:sz w:val="24"/>
          <w:szCs w:val="24"/>
        </w:rPr>
        <w:t xml:space="preserve">Supplementary Table S2. </w:t>
      </w:r>
      <w:bookmarkStart w:id="1" w:name="_Hlk239754892"/>
      <w:r>
        <w:rPr>
          <w:sz w:val="24"/>
          <w:szCs w:val="24"/>
        </w:rPr>
        <w:t>Laboratory testing workflow, interpretive standard, and quality-control strain and frequency, by study year.</w:t>
      </w:r>
    </w:p>
    <w:p>
      <w:pPr>
        <w:spacing w:line="360" w:lineRule="auto"/>
        <w:jc w:val="both"/>
        <w:rPr>
          <w:sz w:val="24"/>
          <w:szCs w:val="24"/>
        </w:rPr>
      </w:pPr>
      <w:bookmarkStart w:id="2" w:name="_Hlk239754909"/>
      <w:bookmarkEnd w:id="1"/>
      <w:bookmarkEnd w:id="2"/>
      <w:r>
        <w:rPr>
          <w:b/>
          <w:bCs/>
          <w:sz w:val="24"/>
          <w:szCs w:val="24"/>
        </w:rPr>
        <w:t>Supplementary Table S3.</w:t>
      </w:r>
      <w:r>
        <w:rPr>
          <w:sz w:val="24"/>
          <w:szCs w:val="24"/>
        </w:rPr>
        <w:t xml:space="preserve"> Antimicrobial susceptibility and screening results by study</w:t>
      </w:r>
      <w:r>
        <w:rPr>
          <w:color w:val="FF0000"/>
          <w:sz w:val="24"/>
          <w:szCs w:val="24"/>
          <w:highlight w:val="green"/>
        </w:rPr>
        <w:t xml:space="preserve"> year. Section A reports agents</w:t>
      </w:r>
      <w:r>
        <w:rPr>
          <w:sz w:val="24"/>
          <w:szCs w:val="24"/>
        </w:rPr>
        <w:t xml:space="preserve"> with</w:t>
      </w:r>
      <w:r>
        <w:rPr>
          <w:color w:val="FF0000"/>
          <w:sz w:val="24"/>
          <w:szCs w:val="24"/>
          <w:highlight w:val="green"/>
        </w:rPr>
        <w:t xml:space="preserve"> an independent applicable CLSI criterion; Section B contains the surrogate ampicillin result</w:t>
      </w:r>
      <w:r>
        <w:rPr>
          <w:sz w:val="24"/>
          <w:szCs w:val="24"/>
        </w:rPr>
        <w:t xml:space="preserve"> and</w:t>
      </w:r>
      <w:r>
        <w:rPr>
          <w:color w:val="FF0000"/>
          <w:sz w:val="24"/>
          <w:szCs w:val="24"/>
          <w:highlight w:val="green"/>
        </w:rPr>
        <w:t xml:space="preserve"> oxacillin screen; Section C retains raw, non-interpretive legacy labels for ceftazidime, gentamicin, ciprofloxacin, and ofloxacin; Section D reports MDR by year.</w:t>
      </w:r>
      <w:r>
        <w:rPr>
          <w:sz w:val="24"/>
          <w:szCs w:val="24"/>
        </w:rPr>
        <w:t xml:space="preserve"> Primary MDR prevalence was</w:t>
      </w:r>
      <w:r>
        <w:rPr>
          <w:color w:val="FF0000"/>
          <w:sz w:val="24"/>
          <w:szCs w:val="24"/>
          <w:highlight w:val="green"/>
        </w:rPr>
        <w:t xml:space="preserve"> 70.6%</w:t>
      </w:r>
      <w:r>
        <w:rPr>
          <w:sz w:val="24"/>
          <w:szCs w:val="24"/>
        </w:rPr>
        <w:t xml:space="preserve"> in 2022,</w:t>
      </w:r>
      <w:r>
        <w:rPr>
          <w:color w:val="FF0000"/>
          <w:sz w:val="24"/>
          <w:szCs w:val="24"/>
          <w:highlight w:val="green"/>
        </w:rPr>
        <w:t xml:space="preserve"> 60.9%</w:t>
      </w:r>
      <w:r>
        <w:rPr>
          <w:sz w:val="24"/>
          <w:szCs w:val="24"/>
        </w:rPr>
        <w:t xml:space="preserve"> in 2023, and 66.7% in 2024; no temporal trend is inferred.</w:t>
      </w:r>
    </w:p>
    <w:p>
      <w:pPr>
        <w:spacing w:line="360" w:lineRule="auto"/>
        <w:jc w:val="both"/>
        <w:rPr>
          <w:sz w:val="24"/>
          <w:szCs w:val="24"/>
        </w:rPr>
      </w:pPr>
      <w:r>
        <w:rPr>
          <w:b/>
          <w:bCs/>
          <w:color w:val="FF0000"/>
          <w:sz w:val="24"/>
          <w:szCs w:val="24"/>
          <w:highlight w:val="green"/>
        </w:rPr>
        <w:t xml:space="preserve">Supplementary Table S4. </w:t>
      </w:r>
      <w:r>
        <w:rPr>
          <w:color w:val="FF0000"/>
          <w:sz w:val="24"/>
          <w:szCs w:val="24"/>
          <w:highlight w:val="green"/>
        </w:rPr>
        <w:t>CLSI M100 Table 2G criterion, study-year edition, measurement, and breakpoint used for each reportable agent and the oxacillin screen.</w:t>
      </w:r>
    </w:p>
    <w:p>
      <w:pPr>
        <w:spacing w:line="360" w:lineRule="auto"/>
        <w:jc w:val="both"/>
        <w:rPr>
          <w:sz w:val="24"/>
          <w:szCs w:val="24"/>
        </w:rPr>
      </w:pPr>
      <w:r>
        <w:rPr>
          <w:b/>
          <w:bCs/>
          <w:color w:val="FF0000"/>
          <w:sz w:val="24"/>
          <w:szCs w:val="24"/>
          <w:highlight w:val="green"/>
        </w:rPr>
        <w:t xml:space="preserve">Supplementary Table S5. </w:t>
      </w:r>
      <w:r>
        <w:rPr>
          <w:color w:val="FF0000"/>
          <w:sz w:val="24"/>
          <w:szCs w:val="24"/>
          <w:highlight w:val="green"/>
        </w:rPr>
        <w:t>Completed STROBE-AMS checklist mapping each applicable reporting item to the manuscript or supplementary material.</w:t>
      </w:r>
    </w:p>
    <w:p>
      <w:pPr>
        <w:jc w:val="center"/>
        <w:rPr>
          <w:b/>
          <w:sz w:val="22"/>
        </w:rPr>
      </w:pPr>
    </w:p>
    <w:p>
      <w:pPr>
        <w:jc w:val="center"/>
        <w:rPr>
          <w:b/>
          <w:sz w:val="22"/>
        </w:rPr>
      </w:pPr>
    </w:p>
    <w:p>
      <w:pPr>
        <w:jc w:val="center"/>
        <w:rPr>
          <w:b/>
          <w:sz w:val="22"/>
        </w:rPr>
      </w:pPr>
    </w:p>
    <w:p>
      <w:pPr>
        <w:jc w:val="center"/>
        <w:rPr>
          <w:b/>
          <w:sz w:val="22"/>
        </w:rPr>
        <w:sectPr>
          <w:pgSz w:w="12240" w:h="15840"/>
          <w:pgMar w:top="1276" w:right="1325" w:bottom="720" w:left="1418" w:header="720" w:footer="720" w:gutter="0"/>
          <w:cols w:space="720"/>
          <w:docGrid w:linePitch="360"/>
        </w:sectPr>
      </w:pPr>
    </w:p>
    <w:p>
      <w:pPr>
        <w:jc w:val="center"/>
        <w:rPr>
          <w:b/>
          <w:sz w:val="22"/>
        </w:rPr>
      </w:pPr>
    </w:p>
    <w:p>
      <w:pPr>
        <w:jc w:val="center"/>
      </w:pPr>
      <w:r>
        <w:rPr>
          <w:b/>
          <w:sz w:val="22"/>
        </w:rPr>
        <w:t>SUPPLEMENTARY MATERIAL</w:t>
      </w:r>
    </w:p>
    <w:p>
      <w:r>
        <w:rPr>
          <w:b/>
          <w:sz w:val="19"/>
          <w:highlight w:val="yellow"/>
        </w:rPr>
        <w:t xml:space="preserve">Supplementary Table S1. </w:t>
      </w:r>
      <w:r>
        <w:rPr>
          <w:b/>
          <w:sz w:val="19"/>
        </w:rPr>
        <w:t xml:space="preserve">Isolate-level susceptibility results, number of antimicrobial classes evaluated, and multidrug-resistance classification for all 58 </w:t>
      </w:r>
      <w:r>
        <w:rPr>
          <w:b/>
          <w:i/>
          <w:sz w:val="19"/>
        </w:rPr>
        <w:t>Streptococcus pneumoniae</w:t>
      </w:r>
      <w:r>
        <w:rPr>
          <w:b/>
          <w:sz w:val="19"/>
        </w:rPr>
        <w:t xml:space="preserve"> isolates.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
        <w:gridCol w:w="525"/>
        <w:gridCol w:w="885"/>
        <w:gridCol w:w="659"/>
        <w:gridCol w:w="512"/>
        <w:gridCol w:w="512"/>
        <w:gridCol w:w="512"/>
        <w:gridCol w:w="512"/>
        <w:gridCol w:w="512"/>
        <w:gridCol w:w="512"/>
        <w:gridCol w:w="512"/>
        <w:gridCol w:w="512"/>
        <w:gridCol w:w="512"/>
        <w:gridCol w:w="512"/>
        <w:gridCol w:w="523"/>
        <w:gridCol w:w="512"/>
        <w:gridCol w:w="512"/>
        <w:gridCol w:w="512"/>
        <w:gridCol w:w="512"/>
        <w:gridCol w:w="518"/>
        <w:gridCol w:w="622"/>
        <w:gridCol w:w="622"/>
        <w:gridCol w:w="622"/>
        <w:gridCol w:w="622"/>
        <w:gridCol w:w="622"/>
        <w:gridCol w:w="622"/>
      </w:tblGrid>
      <w:tr>
        <w:trPr>
          <w:tblHeader/>
        </w:trPr>
        <w:tc>
          <w:tcPr>
            <w:tcW w:w="156" w:type="pct"/>
            <w:vMerge w:val="restart"/>
            <w:shd w:val="clear" w:color="auto" w:fill="E8E8E8"/>
            <w:tcMar>
              <w:top w:w="20" w:type="dxa"/>
              <w:left w:w="30" w:type="dxa"/>
              <w:bottom w:w="20" w:type="dxa"/>
              <w:right w:w="30" w:type="dxa"/>
            </w:tcMar>
            <w:vAlign w:val="center"/>
          </w:tcPr>
          <w:p>
            <w:pPr>
              <w:spacing w:before="10" w:after="10"/>
              <w:jc w:val="center"/>
            </w:pPr>
            <w:r>
              <w:rPr>
                <w:b/>
                <w:bCs/>
                <w:sz w:val="12"/>
                <w:szCs w:val="12"/>
              </w:rPr>
              <w:t>Isolate</w:t>
            </w:r>
          </w:p>
        </w:tc>
        <w:tc>
          <w:tcPr>
            <w:tcW w:w="182" w:type="pct"/>
            <w:vMerge w:val="restart"/>
            <w:shd w:val="clear" w:color="auto" w:fill="E8E8E8"/>
            <w:tcMar>
              <w:top w:w="20" w:type="dxa"/>
              <w:left w:w="30" w:type="dxa"/>
              <w:bottom w:w="20" w:type="dxa"/>
              <w:right w:w="30" w:type="dxa"/>
            </w:tcMar>
            <w:vAlign w:val="center"/>
          </w:tcPr>
          <w:p>
            <w:pPr>
              <w:spacing w:before="10" w:after="10"/>
              <w:jc w:val="center"/>
            </w:pPr>
            <w:r>
              <w:rPr>
                <w:b/>
                <w:bCs/>
                <w:sz w:val="12"/>
                <w:szCs w:val="12"/>
              </w:rPr>
              <w:t>Year</w:t>
            </w:r>
          </w:p>
        </w:tc>
        <w:tc>
          <w:tcPr>
            <w:tcW w:w="306" w:type="pct"/>
            <w:vMerge w:val="restart"/>
            <w:shd w:val="clear" w:color="auto" w:fill="E8E8E8"/>
            <w:tcMar>
              <w:top w:w="20" w:type="dxa"/>
              <w:left w:w="30" w:type="dxa"/>
              <w:bottom w:w="20" w:type="dxa"/>
              <w:right w:w="30" w:type="dxa"/>
            </w:tcMar>
            <w:vAlign w:val="center"/>
          </w:tcPr>
          <w:p>
            <w:pPr>
              <w:spacing w:before="10" w:after="10"/>
              <w:jc w:val="center"/>
            </w:pPr>
            <w:r>
              <w:rPr>
                <w:b/>
                <w:bCs/>
                <w:sz w:val="12"/>
                <w:szCs w:val="12"/>
              </w:rPr>
              <w:t>Syndrome</w:t>
            </w:r>
          </w:p>
        </w:tc>
        <w:tc>
          <w:tcPr>
            <w:tcW w:w="228" w:type="pct"/>
            <w:vMerge w:val="restart"/>
            <w:shd w:val="clear" w:color="auto" w:fill="E8E8E8"/>
            <w:tcMar>
              <w:top w:w="20" w:type="dxa"/>
              <w:left w:w="30" w:type="dxa"/>
              <w:bottom w:w="20" w:type="dxa"/>
              <w:right w:w="30" w:type="dxa"/>
            </w:tcMar>
            <w:vAlign w:val="center"/>
          </w:tcPr>
          <w:p>
            <w:pPr>
              <w:spacing w:before="10" w:after="10"/>
              <w:jc w:val="center"/>
            </w:pPr>
            <w:r>
              <w:rPr>
                <w:b/>
                <w:bCs/>
                <w:sz w:val="12"/>
                <w:szCs w:val="12"/>
              </w:rPr>
              <w:t>Specimen</w:t>
            </w:r>
          </w:p>
        </w:tc>
        <w:tc>
          <w:tcPr>
            <w:tcW w:w="1951" w:type="pct"/>
            <w:gridSpan w:val="11"/>
            <w:shd w:val="clear" w:color="auto" w:fill="D9D9D9"/>
            <w:tcMar>
              <w:top w:w="20" w:type="dxa"/>
              <w:left w:w="30" w:type="dxa"/>
              <w:bottom w:w="20" w:type="dxa"/>
              <w:right w:w="30" w:type="dxa"/>
            </w:tcMar>
            <w:vAlign w:val="center"/>
          </w:tcPr>
          <w:p>
            <w:pPr>
              <w:spacing w:before="10" w:after="10"/>
              <w:jc w:val="center"/>
            </w:pPr>
            <w:r>
              <w:rPr>
                <w:b/>
              </w:rPr>
              <w:t>Antimicrobial agents tested — individual results (see Definitions for interpretive status)</w:t>
            </w:r>
          </w:p>
        </w:tc>
        <w:tc>
          <w:tcPr>
            <w:tcW w:w="177" w:type="pct"/>
            <w:shd w:val="clear" w:color="auto" w:fill="D9D9D9"/>
            <w:tcMar>
              <w:top w:w="20" w:type="dxa"/>
              <w:left w:w="30" w:type="dxa"/>
              <w:bottom w:w="20" w:type="dxa"/>
              <w:right w:w="30" w:type="dxa"/>
            </w:tcMar>
            <w:vAlign w:val="center"/>
          </w:tcPr>
          <w:p>
            <w:pPr>
              <w:spacing w:before="10" w:after="10"/>
              <w:jc w:val="center"/>
            </w:pPr>
            <w:r>
              <w:rPr>
                <w:b/>
                <w:bCs/>
                <w:sz w:val="12"/>
                <w:szCs w:val="12"/>
              </w:rPr>
              <w:t>B. Screen</w:t>
            </w:r>
          </w:p>
        </w:tc>
        <w:tc>
          <w:tcPr>
            <w:tcW w:w="710" w:type="pct"/>
            <w:gridSpan w:val="4"/>
            <w:shd w:val="clear" w:color="auto" w:fill="D9D9D9"/>
            <w:tcMar>
              <w:top w:w="20" w:type="dxa"/>
              <w:left w:w="30" w:type="dxa"/>
              <w:bottom w:w="20" w:type="dxa"/>
              <w:right w:w="30" w:type="dxa"/>
            </w:tcMar>
            <w:vAlign w:val="center"/>
          </w:tcPr>
          <w:p>
            <w:pPr>
              <w:spacing w:before="10" w:after="10"/>
              <w:jc w:val="center"/>
            </w:pPr>
            <w:r>
              <w:rPr>
                <w:b/>
                <w:bCs/>
                <w:sz w:val="12"/>
                <w:szCs w:val="12"/>
              </w:rPr>
              <w:t>C. No criteria</w:t>
            </w:r>
          </w:p>
        </w:tc>
        <w:tc>
          <w:tcPr>
            <w:tcW w:w="645" w:type="pct"/>
            <w:gridSpan w:val="3"/>
            <w:shd w:val="clear" w:color="auto" w:fill="D9D9D9"/>
            <w:tcMar>
              <w:top w:w="20" w:type="dxa"/>
              <w:left w:w="30" w:type="dxa"/>
              <w:bottom w:w="20" w:type="dxa"/>
              <w:right w:w="30" w:type="dxa"/>
            </w:tcMar>
            <w:vAlign w:val="center"/>
          </w:tcPr>
          <w:p>
            <w:pPr>
              <w:spacing w:before="10" w:after="10"/>
              <w:jc w:val="center"/>
            </w:pPr>
            <w:r>
              <w:rPr>
                <w:b/>
                <w:bCs/>
                <w:sz w:val="12"/>
                <w:szCs w:val="12"/>
              </w:rPr>
              <w:t>Primary MDR definition</w:t>
            </w:r>
          </w:p>
        </w:tc>
        <w:tc>
          <w:tcPr>
            <w:tcW w:w="645" w:type="pct"/>
            <w:gridSpan w:val="3"/>
            <w:shd w:val="clear" w:color="auto" w:fill="D9D9D9"/>
            <w:tcMar>
              <w:top w:w="20" w:type="dxa"/>
              <w:left w:w="30" w:type="dxa"/>
              <w:bottom w:w="20" w:type="dxa"/>
              <w:right w:w="30" w:type="dxa"/>
            </w:tcMar>
            <w:vAlign w:val="center"/>
          </w:tcPr>
          <w:p>
            <w:pPr>
              <w:spacing w:before="10" w:after="10"/>
              <w:jc w:val="center"/>
            </w:pPr>
            <w:r>
              <w:rPr>
                <w:b/>
                <w:bCs/>
                <w:sz w:val="12"/>
                <w:szCs w:val="12"/>
                <w:highlight w:val="yellow"/>
              </w:rPr>
              <w:t>Broader 9-category</w:t>
            </w:r>
          </w:p>
        </w:tc>
      </w:tr>
      <w:tr>
        <w:trPr>
          <w:tblHeader/>
        </w:trPr>
        <w:tc>
          <w:tcPr>
            <w:tcW w:w="156" w:type="pct"/>
            <w:vMerge/>
          </w:tcPr>
          <w:p/>
        </w:tc>
        <w:tc>
          <w:tcPr>
            <w:tcW w:w="182" w:type="pct"/>
            <w:vMerge/>
          </w:tcPr>
          <w:p/>
        </w:tc>
        <w:tc>
          <w:tcPr>
            <w:tcW w:w="306" w:type="pct"/>
            <w:vMerge/>
          </w:tcPr>
          <w:p/>
        </w:tc>
        <w:tc>
          <w:tcPr>
            <w:tcW w:w="228" w:type="pct"/>
            <w:vMerge/>
          </w:tcP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PEN</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AMP</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CXM</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CTX</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CRO</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FEP</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ERY</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CLI</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CHL</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TET</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VAN</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OXA</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CAZ</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GEN</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CIP</w:t>
            </w:r>
          </w:p>
        </w:tc>
        <w:tc>
          <w:tcPr>
            <w:tcW w:w="177" w:type="pct"/>
            <w:shd w:val="clear" w:color="auto" w:fill="E8E8E8"/>
            <w:tcMar>
              <w:top w:w="20" w:type="dxa"/>
              <w:left w:w="30" w:type="dxa"/>
              <w:bottom w:w="20" w:type="dxa"/>
              <w:right w:w="30" w:type="dxa"/>
            </w:tcMar>
            <w:vAlign w:val="center"/>
          </w:tcPr>
          <w:p>
            <w:pPr>
              <w:spacing w:before="10" w:after="10"/>
              <w:jc w:val="center"/>
            </w:pPr>
            <w:r>
              <w:rPr>
                <w:b/>
                <w:bCs/>
                <w:sz w:val="12"/>
                <w:szCs w:val="12"/>
              </w:rPr>
              <w:t>OFX</w:t>
            </w:r>
          </w:p>
        </w:tc>
        <w:tc>
          <w:tcPr>
            <w:tcW w:w="215" w:type="pct"/>
            <w:shd w:val="clear" w:color="auto" w:fill="E8E8E8"/>
            <w:tcMar>
              <w:top w:w="20" w:type="dxa"/>
              <w:left w:w="30" w:type="dxa"/>
              <w:bottom w:w="20" w:type="dxa"/>
              <w:right w:w="30" w:type="dxa"/>
            </w:tcMar>
            <w:vAlign w:val="center"/>
          </w:tcPr>
          <w:p>
            <w:pPr>
              <w:spacing w:before="10" w:after="10"/>
              <w:jc w:val="center"/>
            </w:pPr>
            <w:r>
              <w:rPr>
                <w:b/>
                <w:bCs/>
                <w:sz w:val="12"/>
                <w:szCs w:val="12"/>
              </w:rPr>
              <w:t>Cls</w:t>
            </w:r>
          </w:p>
        </w:tc>
        <w:tc>
          <w:tcPr>
            <w:tcW w:w="215" w:type="pct"/>
            <w:shd w:val="clear" w:color="auto" w:fill="E8E8E8"/>
            <w:tcMar>
              <w:top w:w="20" w:type="dxa"/>
              <w:left w:w="30" w:type="dxa"/>
              <w:bottom w:w="20" w:type="dxa"/>
              <w:right w:w="30" w:type="dxa"/>
            </w:tcMar>
            <w:vAlign w:val="center"/>
          </w:tcPr>
          <w:p>
            <w:pPr>
              <w:spacing w:before="10" w:after="10"/>
              <w:jc w:val="center"/>
            </w:pPr>
            <w:r>
              <w:rPr>
                <w:b/>
                <w:bCs/>
                <w:sz w:val="12"/>
                <w:szCs w:val="12"/>
              </w:rPr>
              <w:t>NS</w:t>
            </w:r>
          </w:p>
        </w:tc>
        <w:tc>
          <w:tcPr>
            <w:tcW w:w="215" w:type="pct"/>
            <w:shd w:val="clear" w:color="auto" w:fill="E8E8E8"/>
            <w:tcMar>
              <w:top w:w="20" w:type="dxa"/>
              <w:left w:w="30" w:type="dxa"/>
              <w:bottom w:w="20" w:type="dxa"/>
              <w:right w:w="30" w:type="dxa"/>
            </w:tcMar>
            <w:vAlign w:val="center"/>
          </w:tcPr>
          <w:p>
            <w:pPr>
              <w:spacing w:before="10" w:after="10"/>
              <w:jc w:val="center"/>
            </w:pPr>
            <w:r>
              <w:rPr>
                <w:b/>
                <w:bCs/>
                <w:sz w:val="12"/>
                <w:szCs w:val="12"/>
              </w:rPr>
              <w:t>MDR</w:t>
            </w:r>
          </w:p>
        </w:tc>
        <w:tc>
          <w:tcPr>
            <w:tcW w:w="215" w:type="pct"/>
            <w:shd w:val="clear" w:color="auto" w:fill="E8E8E8"/>
            <w:tcMar>
              <w:top w:w="20" w:type="dxa"/>
              <w:left w:w="30" w:type="dxa"/>
              <w:bottom w:w="20" w:type="dxa"/>
              <w:right w:w="30" w:type="dxa"/>
            </w:tcMar>
            <w:vAlign w:val="center"/>
          </w:tcPr>
          <w:p>
            <w:pPr>
              <w:spacing w:before="10" w:after="10"/>
              <w:jc w:val="center"/>
            </w:pPr>
            <w:r>
              <w:rPr>
                <w:b/>
                <w:bCs/>
                <w:sz w:val="12"/>
                <w:szCs w:val="12"/>
              </w:rPr>
              <w:t>Cls</w:t>
            </w:r>
          </w:p>
        </w:tc>
        <w:tc>
          <w:tcPr>
            <w:tcW w:w="215" w:type="pct"/>
            <w:shd w:val="clear" w:color="auto" w:fill="E8E8E8"/>
            <w:tcMar>
              <w:top w:w="20" w:type="dxa"/>
              <w:left w:w="30" w:type="dxa"/>
              <w:bottom w:w="20" w:type="dxa"/>
              <w:right w:w="30" w:type="dxa"/>
            </w:tcMar>
            <w:vAlign w:val="center"/>
          </w:tcPr>
          <w:p>
            <w:pPr>
              <w:spacing w:before="10" w:after="10"/>
              <w:jc w:val="center"/>
            </w:pPr>
            <w:r>
              <w:rPr>
                <w:b/>
                <w:bCs/>
                <w:sz w:val="12"/>
                <w:szCs w:val="12"/>
              </w:rPr>
              <w:t>NS</w:t>
            </w:r>
          </w:p>
        </w:tc>
        <w:tc>
          <w:tcPr>
            <w:tcW w:w="215" w:type="pct"/>
            <w:shd w:val="clear" w:color="auto" w:fill="E8E8E8"/>
            <w:tcMar>
              <w:top w:w="20" w:type="dxa"/>
              <w:left w:w="30" w:type="dxa"/>
              <w:bottom w:w="20" w:type="dxa"/>
              <w:right w:w="30" w:type="dxa"/>
            </w:tcMar>
            <w:vAlign w:val="center"/>
          </w:tcPr>
          <w:p>
            <w:pPr>
              <w:spacing w:before="10" w:after="10"/>
              <w:jc w:val="center"/>
            </w:pPr>
            <w:r>
              <w:rPr>
                <w:b/>
                <w:bCs/>
                <w:sz w:val="12"/>
                <w:szCs w:val="12"/>
              </w:rPr>
              <w:t>MDR</w:t>
            </w:r>
          </w:p>
        </w:tc>
      </w:tr>
      <w:tr>
        <w:tc>
          <w:tcPr>
            <w:tcW w:w="156" w:type="pct"/>
            <w:tcMar>
              <w:top w:w="20" w:type="dxa"/>
              <w:left w:w="30" w:type="dxa"/>
              <w:bottom w:w="20" w:type="dxa"/>
              <w:right w:w="30" w:type="dxa"/>
            </w:tcMar>
            <w:vAlign w:val="center"/>
          </w:tcPr>
          <w:p>
            <w:pPr>
              <w:spacing w:before="10" w:after="10"/>
              <w:jc w:val="center"/>
            </w:pPr>
            <w:r>
              <w:rPr>
                <w:sz w:val="13"/>
                <w:szCs w:val="13"/>
              </w:rPr>
              <w:t>1</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t>6</w:t>
            </w:r>
          </w:p>
        </w:tc>
        <w:tc>
          <w:tcPr>
            <w:tcW w:w="215" w:type="pct"/>
            <w:tcMar>
              <w:top w:w="20" w:type="dxa"/>
              <w:left w:w="30" w:type="dxa"/>
              <w:bottom w:w="20" w:type="dxa"/>
              <w:right w:w="30" w:type="dxa"/>
            </w:tcMar>
            <w:vAlign w:val="center"/>
          </w:tcPr>
          <w:p>
            <w:pPr>
              <w:spacing w:before="10" w:after="10"/>
              <w:jc w:val="center"/>
            </w:pPr>
            <w:r>
              <w:t>3</w:t>
            </w:r>
          </w:p>
        </w:tc>
        <w:tc>
          <w:tcPr>
            <w:tcW w:w="215" w:type="pct"/>
            <w:tcMar>
              <w:top w:w="20" w:type="dxa"/>
              <w:left w:w="30" w:type="dxa"/>
              <w:bottom w:w="20" w:type="dxa"/>
              <w:right w:w="30" w:type="dxa"/>
            </w:tcMar>
            <w:vAlign w:val="center"/>
          </w:tcPr>
          <w:p>
            <w:pPr>
              <w:spacing w:before="10" w:after="10"/>
              <w:jc w:val="center"/>
            </w:pPr>
            <w:r>
              <w:t>Yes</w:t>
            </w:r>
          </w:p>
        </w:tc>
        <w:tc>
          <w:tcPr>
            <w:tcW w:w="215" w:type="pct"/>
            <w:tcMar>
              <w:top w:w="20" w:type="dxa"/>
              <w:left w:w="30" w:type="dxa"/>
              <w:bottom w:w="20" w:type="dxa"/>
              <w:right w:w="30" w:type="dxa"/>
            </w:tcMar>
            <w:vAlign w:val="center"/>
          </w:tcPr>
          <w:p>
            <w:pPr>
              <w:spacing w:before="10" w:after="10"/>
              <w:jc w:val="center"/>
            </w:pPr>
            <w:r>
              <w:t>7</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2</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t>6</w:t>
            </w:r>
          </w:p>
        </w:tc>
        <w:tc>
          <w:tcPr>
            <w:tcW w:w="215" w:type="pct"/>
            <w:tcMar>
              <w:top w:w="20" w:type="dxa"/>
              <w:left w:w="30" w:type="dxa"/>
              <w:bottom w:w="20" w:type="dxa"/>
              <w:right w:w="30" w:type="dxa"/>
            </w:tcMar>
            <w:vAlign w:val="center"/>
          </w:tcPr>
          <w:p>
            <w:pPr>
              <w:spacing w:before="10" w:after="10"/>
              <w:jc w:val="center"/>
            </w:pPr>
            <w:r>
              <w:t>2</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8</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3</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1</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2</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6</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7</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r>
      <w:tr>
        <w:tc>
          <w:tcPr>
            <w:tcW w:w="156" w:type="pct"/>
            <w:tcMar>
              <w:top w:w="20" w:type="dxa"/>
              <w:left w:w="30" w:type="dxa"/>
              <w:bottom w:w="20" w:type="dxa"/>
              <w:right w:w="30" w:type="dxa"/>
            </w:tcMar>
            <w:vAlign w:val="center"/>
          </w:tcPr>
          <w:p>
            <w:pPr>
              <w:spacing w:before="10" w:after="10"/>
              <w:jc w:val="center"/>
            </w:pPr>
            <w:r>
              <w:rPr>
                <w:sz w:val="13"/>
                <w:szCs w:val="13"/>
              </w:rPr>
              <w:t>8</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9</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10</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11</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r>
      <w:tr>
        <w:tc>
          <w:tcPr>
            <w:tcW w:w="156" w:type="pct"/>
            <w:tcMar>
              <w:top w:w="20" w:type="dxa"/>
              <w:left w:w="30" w:type="dxa"/>
              <w:bottom w:w="20" w:type="dxa"/>
              <w:right w:w="30" w:type="dxa"/>
            </w:tcMar>
            <w:vAlign w:val="center"/>
          </w:tcPr>
          <w:p>
            <w:pPr>
              <w:spacing w:before="10" w:after="10"/>
              <w:jc w:val="center"/>
            </w:pPr>
            <w:r>
              <w:rPr>
                <w:sz w:val="13"/>
                <w:szCs w:val="13"/>
              </w:rPr>
              <w:t>12</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13</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14</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15</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t>6</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Yes</w:t>
            </w:r>
          </w:p>
        </w:tc>
        <w:tc>
          <w:tcPr>
            <w:tcW w:w="215" w:type="pct"/>
            <w:tcMar>
              <w:top w:w="20" w:type="dxa"/>
              <w:left w:w="30" w:type="dxa"/>
              <w:bottom w:w="20" w:type="dxa"/>
              <w:right w:w="30" w:type="dxa"/>
            </w:tcMar>
            <w:vAlign w:val="center"/>
          </w:tcPr>
          <w:p>
            <w:pPr>
              <w:spacing w:before="10" w:after="10"/>
              <w:jc w:val="center"/>
            </w:pPr>
            <w:r>
              <w:t>7</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16</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17</w:t>
            </w:r>
          </w:p>
        </w:tc>
        <w:tc>
          <w:tcPr>
            <w:tcW w:w="182" w:type="pct"/>
            <w:tcMar>
              <w:top w:w="20" w:type="dxa"/>
              <w:left w:w="30" w:type="dxa"/>
              <w:bottom w:w="20" w:type="dxa"/>
              <w:right w:w="30" w:type="dxa"/>
            </w:tcMar>
            <w:vAlign w:val="center"/>
          </w:tcPr>
          <w:p>
            <w:pPr>
              <w:spacing w:before="10" w:after="10"/>
              <w:jc w:val="center"/>
            </w:pPr>
            <w:r>
              <w:rPr>
                <w:sz w:val="13"/>
                <w:szCs w:val="13"/>
              </w:rPr>
              <w:t>2022</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18</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19</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20</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21</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r>
      <w:tr>
        <w:tc>
          <w:tcPr>
            <w:tcW w:w="156" w:type="pct"/>
            <w:tcMar>
              <w:top w:w="20" w:type="dxa"/>
              <w:left w:w="30" w:type="dxa"/>
              <w:bottom w:w="20" w:type="dxa"/>
              <w:right w:w="30" w:type="dxa"/>
            </w:tcMar>
            <w:vAlign w:val="center"/>
          </w:tcPr>
          <w:p>
            <w:pPr>
              <w:spacing w:before="10" w:after="10"/>
              <w:jc w:val="center"/>
            </w:pPr>
            <w:r>
              <w:rPr>
                <w:sz w:val="13"/>
                <w:szCs w:val="13"/>
              </w:rPr>
              <w:t>22</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23</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24</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25</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26</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27</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28</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29</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Neg</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0</w:t>
            </w:r>
          </w:p>
        </w:tc>
        <w:tc>
          <w:tcPr>
            <w:tcW w:w="215" w:type="pct"/>
            <w:tcMar>
              <w:top w:w="20" w:type="dxa"/>
              <w:left w:w="30" w:type="dxa"/>
              <w:bottom w:w="20" w:type="dxa"/>
              <w:right w:w="30" w:type="dxa"/>
            </w:tcMar>
            <w:vAlign w:val="center"/>
          </w:tcPr>
          <w:p>
            <w:pPr>
              <w:spacing w:before="10" w:after="10"/>
              <w:jc w:val="center"/>
            </w:pPr>
            <w:r>
              <w:rPr>
                <w:sz w:val="13"/>
                <w:szCs w:val="13"/>
              </w:rPr>
              <w:t>No</w:t>
            </w:r>
          </w:p>
        </w:tc>
      </w:tr>
      <w:tr>
        <w:tc>
          <w:tcPr>
            <w:tcW w:w="156" w:type="pct"/>
            <w:tcMar>
              <w:top w:w="20" w:type="dxa"/>
              <w:left w:w="30" w:type="dxa"/>
              <w:bottom w:w="20" w:type="dxa"/>
              <w:right w:w="30" w:type="dxa"/>
            </w:tcMar>
            <w:vAlign w:val="center"/>
          </w:tcPr>
          <w:p>
            <w:pPr>
              <w:spacing w:before="10" w:after="10"/>
              <w:jc w:val="center"/>
            </w:pPr>
            <w:r>
              <w:rPr>
                <w:sz w:val="13"/>
                <w:szCs w:val="13"/>
              </w:rPr>
              <w:t>30</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lastRenderedPageBreak/>
              <w:t>31</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32</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Neg</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33</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Neg</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2</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34</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35</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0</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6</w:t>
            </w:r>
          </w:p>
        </w:tc>
        <w:tc>
          <w:tcPr>
            <w:tcW w:w="215" w:type="pct"/>
            <w:tcMar>
              <w:top w:w="20" w:type="dxa"/>
              <w:left w:w="30" w:type="dxa"/>
              <w:bottom w:w="20" w:type="dxa"/>
              <w:right w:w="30" w:type="dxa"/>
            </w:tcMar>
            <w:vAlign w:val="center"/>
          </w:tcPr>
          <w:p>
            <w:pPr>
              <w:spacing w:before="10" w:after="10"/>
              <w:jc w:val="center"/>
            </w:pPr>
            <w:r>
              <w:t>3</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36</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2</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8</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37</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2</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6</w:t>
            </w:r>
          </w:p>
        </w:tc>
        <w:tc>
          <w:tcPr>
            <w:tcW w:w="215" w:type="pct"/>
            <w:tcMar>
              <w:top w:w="20" w:type="dxa"/>
              <w:left w:w="30" w:type="dxa"/>
              <w:bottom w:w="20" w:type="dxa"/>
              <w:right w:w="30" w:type="dxa"/>
            </w:tcMar>
            <w:vAlign w:val="center"/>
          </w:tcPr>
          <w:p>
            <w:pPr>
              <w:spacing w:before="10" w:after="10"/>
              <w:jc w:val="center"/>
            </w:pPr>
            <w:r>
              <w:t>3</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38</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1</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7</w:t>
            </w:r>
          </w:p>
        </w:tc>
        <w:tc>
          <w:tcPr>
            <w:tcW w:w="215" w:type="pct"/>
            <w:tcMar>
              <w:top w:w="20" w:type="dxa"/>
              <w:left w:w="30" w:type="dxa"/>
              <w:bottom w:w="20" w:type="dxa"/>
              <w:right w:w="30" w:type="dxa"/>
            </w:tcMar>
            <w:vAlign w:val="center"/>
          </w:tcPr>
          <w:p>
            <w:pPr>
              <w:spacing w:before="10" w:after="10"/>
              <w:jc w:val="center"/>
            </w:pPr>
            <w:r>
              <w:t>2</w:t>
            </w:r>
          </w:p>
        </w:tc>
        <w:tc>
          <w:tcPr>
            <w:tcW w:w="215" w:type="pct"/>
            <w:tcMar>
              <w:top w:w="20" w:type="dxa"/>
              <w:left w:w="30" w:type="dxa"/>
              <w:bottom w:w="20" w:type="dxa"/>
              <w:right w:w="30" w:type="dxa"/>
            </w:tcMar>
            <w:vAlign w:val="center"/>
          </w:tcPr>
          <w:p>
            <w:pPr>
              <w:spacing w:before="10" w:after="10"/>
              <w:jc w:val="center"/>
            </w:pPr>
            <w:r>
              <w:t>No</w:t>
            </w:r>
          </w:p>
        </w:tc>
      </w:tr>
      <w:tr>
        <w:tc>
          <w:tcPr>
            <w:tcW w:w="156" w:type="pct"/>
            <w:tcMar>
              <w:top w:w="20" w:type="dxa"/>
              <w:left w:w="30" w:type="dxa"/>
              <w:bottom w:w="20" w:type="dxa"/>
              <w:right w:w="30" w:type="dxa"/>
            </w:tcMar>
            <w:vAlign w:val="center"/>
          </w:tcPr>
          <w:p>
            <w:pPr>
              <w:spacing w:before="10" w:after="10"/>
              <w:jc w:val="center"/>
            </w:pPr>
            <w:r>
              <w:rPr>
                <w:sz w:val="13"/>
                <w:szCs w:val="13"/>
              </w:rPr>
              <w:t>39</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Neg</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2</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8</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40</w:t>
            </w:r>
          </w:p>
        </w:tc>
        <w:tc>
          <w:tcPr>
            <w:tcW w:w="182" w:type="pct"/>
            <w:tcMar>
              <w:top w:w="20" w:type="dxa"/>
              <w:left w:w="30" w:type="dxa"/>
              <w:bottom w:w="20" w:type="dxa"/>
              <w:right w:w="30" w:type="dxa"/>
            </w:tcMar>
            <w:vAlign w:val="center"/>
          </w:tcPr>
          <w:p>
            <w:pPr>
              <w:spacing w:before="10" w:after="10"/>
              <w:jc w:val="center"/>
            </w:pPr>
            <w:r>
              <w:rPr>
                <w:sz w:val="13"/>
                <w:szCs w:val="13"/>
              </w:rPr>
              <w:t>2023</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2</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8</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41</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42</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43</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44</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1</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45</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0</w:t>
            </w:r>
          </w:p>
        </w:tc>
        <w:tc>
          <w:tcPr>
            <w:tcW w:w="215" w:type="pct"/>
            <w:tcMar>
              <w:top w:w="20" w:type="dxa"/>
              <w:left w:w="30" w:type="dxa"/>
              <w:bottom w:w="20" w:type="dxa"/>
              <w:right w:w="30" w:type="dxa"/>
            </w:tcMar>
            <w:vAlign w:val="center"/>
          </w:tcPr>
          <w:p>
            <w:pPr>
              <w:spacing w:before="10" w:after="10"/>
              <w:jc w:val="center"/>
            </w:pPr>
            <w:r>
              <w:t>No</w:t>
            </w:r>
          </w:p>
        </w:tc>
        <w:tc>
          <w:tcPr>
            <w:tcW w:w="215" w:type="pct"/>
            <w:tcMar>
              <w:top w:w="20" w:type="dxa"/>
              <w:left w:w="30" w:type="dxa"/>
              <w:bottom w:w="20" w:type="dxa"/>
              <w:right w:w="30" w:type="dxa"/>
            </w:tcMar>
            <w:vAlign w:val="center"/>
          </w:tcPr>
          <w:p>
            <w:pPr>
              <w:spacing w:before="10" w:after="10"/>
              <w:jc w:val="center"/>
            </w:pPr>
            <w:r>
              <w:t>7</w:t>
            </w:r>
          </w:p>
        </w:tc>
        <w:tc>
          <w:tcPr>
            <w:tcW w:w="215" w:type="pct"/>
            <w:tcMar>
              <w:top w:w="20" w:type="dxa"/>
              <w:left w:w="30" w:type="dxa"/>
              <w:bottom w:w="20" w:type="dxa"/>
              <w:right w:w="30" w:type="dxa"/>
            </w:tcMar>
            <w:vAlign w:val="center"/>
          </w:tcPr>
          <w:p>
            <w:pPr>
              <w:spacing w:before="10" w:after="10"/>
              <w:jc w:val="center"/>
            </w:pPr>
            <w:r>
              <w:t>3</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46</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Neg</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47</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Neg</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9</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48</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49</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t>6</w:t>
            </w:r>
          </w:p>
        </w:tc>
        <w:tc>
          <w:tcPr>
            <w:tcW w:w="215" w:type="pct"/>
            <w:tcMar>
              <w:top w:w="20" w:type="dxa"/>
              <w:left w:w="30" w:type="dxa"/>
              <w:bottom w:w="20" w:type="dxa"/>
              <w:right w:w="30" w:type="dxa"/>
            </w:tcMar>
            <w:vAlign w:val="center"/>
          </w:tcPr>
          <w:p>
            <w:pPr>
              <w:spacing w:before="10" w:after="10"/>
              <w:jc w:val="center"/>
            </w:pPr>
            <w:r>
              <w:t>4</w:t>
            </w:r>
          </w:p>
        </w:tc>
        <w:tc>
          <w:tcPr>
            <w:tcW w:w="215" w:type="pct"/>
            <w:tcMar>
              <w:top w:w="20" w:type="dxa"/>
              <w:left w:w="30" w:type="dxa"/>
              <w:bottom w:w="20" w:type="dxa"/>
              <w:right w:w="30" w:type="dxa"/>
            </w:tcMar>
            <w:vAlign w:val="center"/>
          </w:tcPr>
          <w:p>
            <w:pPr>
              <w:spacing w:before="10" w:after="10"/>
              <w:jc w:val="center"/>
            </w:pPr>
            <w:r>
              <w:t>Yes</w:t>
            </w:r>
          </w:p>
        </w:tc>
        <w:tc>
          <w:tcPr>
            <w:tcW w:w="215" w:type="pct"/>
            <w:tcMar>
              <w:top w:w="20" w:type="dxa"/>
              <w:left w:w="30" w:type="dxa"/>
              <w:bottom w:w="20" w:type="dxa"/>
              <w:right w:w="30" w:type="dxa"/>
            </w:tcMar>
            <w:vAlign w:val="center"/>
          </w:tcPr>
          <w:p>
            <w:pPr>
              <w:spacing w:before="10" w:after="10"/>
              <w:jc w:val="center"/>
            </w:pPr>
            <w:r>
              <w:t>8</w:t>
            </w:r>
          </w:p>
        </w:tc>
        <w:tc>
          <w:tcPr>
            <w:tcW w:w="215" w:type="pct"/>
            <w:tcMar>
              <w:top w:w="20" w:type="dxa"/>
              <w:left w:w="30" w:type="dxa"/>
              <w:bottom w:w="20" w:type="dxa"/>
              <w:right w:w="30" w:type="dxa"/>
            </w:tcMar>
            <w:vAlign w:val="center"/>
          </w:tcPr>
          <w:p>
            <w:pPr>
              <w:spacing w:before="10" w:after="10"/>
              <w:jc w:val="center"/>
            </w:pPr>
            <w:r>
              <w:t>5</w:t>
            </w:r>
          </w:p>
        </w:tc>
        <w:tc>
          <w:tcPr>
            <w:tcW w:w="215" w:type="pct"/>
            <w:tcMar>
              <w:top w:w="20" w:type="dxa"/>
              <w:left w:w="30" w:type="dxa"/>
              <w:bottom w:w="20" w:type="dxa"/>
              <w:right w:w="30" w:type="dxa"/>
            </w:tcMar>
            <w:vAlign w:val="center"/>
          </w:tcPr>
          <w:p>
            <w:pPr>
              <w:spacing w:before="10" w:after="10"/>
              <w:jc w:val="center"/>
            </w:pPr>
            <w:r>
              <w:t>Yes</w:t>
            </w:r>
          </w:p>
        </w:tc>
      </w:tr>
      <w:tr>
        <w:tc>
          <w:tcPr>
            <w:tcW w:w="156" w:type="pct"/>
            <w:tcMar>
              <w:top w:w="20" w:type="dxa"/>
              <w:left w:w="30" w:type="dxa"/>
              <w:bottom w:w="20" w:type="dxa"/>
              <w:right w:w="30" w:type="dxa"/>
            </w:tcMar>
            <w:vAlign w:val="center"/>
          </w:tcPr>
          <w:p>
            <w:pPr>
              <w:spacing w:before="10" w:after="10"/>
              <w:jc w:val="center"/>
            </w:pPr>
            <w:r>
              <w:rPr>
                <w:sz w:val="13"/>
                <w:szCs w:val="13"/>
              </w:rPr>
              <w:t>50</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Neg</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1</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1</w:t>
            </w:r>
          </w:p>
        </w:tc>
        <w:tc>
          <w:tcPr>
            <w:tcW w:w="215" w:type="pct"/>
            <w:tcMar>
              <w:top w:w="20" w:type="dxa"/>
              <w:left w:w="30" w:type="dxa"/>
              <w:bottom w:w="20" w:type="dxa"/>
              <w:right w:w="30" w:type="dxa"/>
            </w:tcMar>
            <w:vAlign w:val="center"/>
          </w:tcPr>
          <w:p>
            <w:pPr>
              <w:spacing w:before="10" w:after="10"/>
              <w:jc w:val="center"/>
            </w:pPr>
            <w:r>
              <w:rPr>
                <w:sz w:val="13"/>
                <w:szCs w:val="13"/>
              </w:rPr>
              <w:t>No</w:t>
            </w:r>
          </w:p>
        </w:tc>
      </w:tr>
      <w:tr>
        <w:tc>
          <w:tcPr>
            <w:tcW w:w="156" w:type="pct"/>
            <w:tcMar>
              <w:top w:w="20" w:type="dxa"/>
              <w:left w:w="30" w:type="dxa"/>
              <w:bottom w:w="20" w:type="dxa"/>
              <w:right w:w="30" w:type="dxa"/>
            </w:tcMar>
            <w:vAlign w:val="center"/>
          </w:tcPr>
          <w:p>
            <w:pPr>
              <w:spacing w:before="10" w:after="10"/>
              <w:jc w:val="center"/>
            </w:pPr>
            <w:r>
              <w:rPr>
                <w:sz w:val="13"/>
                <w:szCs w:val="13"/>
              </w:rPr>
              <w:t>51</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52</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2</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53</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2</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54</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55</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2</w:t>
            </w:r>
          </w:p>
        </w:tc>
        <w:tc>
          <w:tcPr>
            <w:tcW w:w="215" w:type="pct"/>
            <w:tcMar>
              <w:top w:w="20" w:type="dxa"/>
              <w:left w:w="30" w:type="dxa"/>
              <w:bottom w:w="20" w:type="dxa"/>
              <w:right w:w="30" w:type="dxa"/>
            </w:tcMar>
            <w:vAlign w:val="center"/>
          </w:tcPr>
          <w:p>
            <w:pPr>
              <w:spacing w:before="10" w:after="10"/>
              <w:jc w:val="center"/>
            </w:pPr>
            <w:r>
              <w:rPr>
                <w:sz w:val="13"/>
                <w:szCs w:val="13"/>
              </w:rPr>
              <w:t>No</w:t>
            </w:r>
          </w:p>
        </w:tc>
        <w:tc>
          <w:tcPr>
            <w:tcW w:w="215" w:type="pct"/>
            <w:tcMar>
              <w:top w:w="20" w:type="dxa"/>
              <w:left w:w="30" w:type="dxa"/>
              <w:bottom w:w="20" w:type="dxa"/>
              <w:right w:w="30" w:type="dxa"/>
            </w:tcMar>
            <w:vAlign w:val="center"/>
          </w:tcPr>
          <w:p>
            <w:pPr>
              <w:spacing w:before="10" w:after="10"/>
              <w:jc w:val="center"/>
            </w:pPr>
            <w:r>
              <w:rPr>
                <w:sz w:val="13"/>
                <w:szCs w:val="13"/>
              </w:rPr>
              <w:t>8</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56</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Suspected bacteremia</w:t>
            </w:r>
          </w:p>
        </w:tc>
        <w:tc>
          <w:tcPr>
            <w:tcW w:w="228" w:type="pct"/>
            <w:tcMar>
              <w:top w:w="20" w:type="dxa"/>
              <w:left w:w="30" w:type="dxa"/>
              <w:bottom w:w="20" w:type="dxa"/>
              <w:right w:w="30" w:type="dxa"/>
            </w:tcMar>
            <w:vAlign w:val="center"/>
          </w:tcPr>
          <w:p>
            <w:pPr>
              <w:spacing w:before="10" w:after="10"/>
            </w:pPr>
            <w:r>
              <w:rPr>
                <w:sz w:val="13"/>
                <w:szCs w:val="13"/>
              </w:rPr>
              <w:t>Blood</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57</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7</w:t>
            </w:r>
          </w:p>
        </w:tc>
        <w:tc>
          <w:tcPr>
            <w:tcW w:w="215" w:type="pct"/>
            <w:tcMar>
              <w:top w:w="20" w:type="dxa"/>
              <w:left w:w="30" w:type="dxa"/>
              <w:bottom w:w="20" w:type="dxa"/>
              <w:right w:w="30" w:type="dxa"/>
            </w:tcMar>
            <w:vAlign w:val="center"/>
          </w:tcPr>
          <w:p>
            <w:pPr>
              <w:spacing w:before="10" w:after="10"/>
              <w:jc w:val="center"/>
            </w:pPr>
            <w:r>
              <w:rPr>
                <w:sz w:val="13"/>
                <w:szCs w:val="13"/>
              </w:rPr>
              <w:t>4</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r>
        <w:tc>
          <w:tcPr>
            <w:tcW w:w="156" w:type="pct"/>
            <w:tcMar>
              <w:top w:w="20" w:type="dxa"/>
              <w:left w:w="30" w:type="dxa"/>
              <w:bottom w:w="20" w:type="dxa"/>
              <w:right w:w="30" w:type="dxa"/>
            </w:tcMar>
            <w:vAlign w:val="center"/>
          </w:tcPr>
          <w:p>
            <w:pPr>
              <w:spacing w:before="10" w:after="10"/>
              <w:jc w:val="center"/>
            </w:pPr>
            <w:r>
              <w:rPr>
                <w:sz w:val="13"/>
                <w:szCs w:val="13"/>
              </w:rPr>
              <w:t>58</w:t>
            </w:r>
          </w:p>
        </w:tc>
        <w:tc>
          <w:tcPr>
            <w:tcW w:w="182" w:type="pct"/>
            <w:tcMar>
              <w:top w:w="20" w:type="dxa"/>
              <w:left w:w="30" w:type="dxa"/>
              <w:bottom w:w="20" w:type="dxa"/>
              <w:right w:w="30" w:type="dxa"/>
            </w:tcMar>
            <w:vAlign w:val="center"/>
          </w:tcPr>
          <w:p>
            <w:pPr>
              <w:spacing w:before="10" w:after="10"/>
              <w:jc w:val="center"/>
            </w:pPr>
            <w:r>
              <w:rPr>
                <w:sz w:val="13"/>
                <w:szCs w:val="13"/>
              </w:rPr>
              <w:t>2024</w:t>
            </w:r>
          </w:p>
        </w:tc>
        <w:tc>
          <w:tcPr>
            <w:tcW w:w="306" w:type="pct"/>
            <w:tcMar>
              <w:top w:w="20" w:type="dxa"/>
              <w:left w:w="30" w:type="dxa"/>
              <w:bottom w:w="20" w:type="dxa"/>
              <w:right w:w="30" w:type="dxa"/>
            </w:tcMar>
            <w:vAlign w:val="center"/>
          </w:tcPr>
          <w:p>
            <w:pPr>
              <w:spacing w:before="10" w:after="10"/>
            </w:pPr>
            <w:r>
              <w:rPr>
                <w:sz w:val="13"/>
                <w:szCs w:val="13"/>
              </w:rPr>
              <w:t>Pneumonia</w:t>
            </w:r>
          </w:p>
        </w:tc>
        <w:tc>
          <w:tcPr>
            <w:tcW w:w="228" w:type="pct"/>
            <w:tcMar>
              <w:top w:w="20" w:type="dxa"/>
              <w:left w:w="30" w:type="dxa"/>
              <w:bottom w:w="20" w:type="dxa"/>
              <w:right w:w="30" w:type="dxa"/>
            </w:tcMar>
            <w:vAlign w:val="center"/>
          </w:tcPr>
          <w:p>
            <w:pPr>
              <w:spacing w:before="10" w:after="10"/>
            </w:pPr>
            <w:r>
              <w:rPr>
                <w:sz w:val="13"/>
                <w:szCs w:val="13"/>
                <w:highlight w:val="yellow"/>
              </w:rPr>
              <w:t>NPA</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I</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177" w:type="pct"/>
            <w:tcMar>
              <w:top w:w="20" w:type="dxa"/>
              <w:left w:w="30" w:type="dxa"/>
              <w:bottom w:w="20" w:type="dxa"/>
              <w:right w:w="30" w:type="dxa"/>
            </w:tcMar>
            <w:vAlign w:val="center"/>
          </w:tcPr>
          <w:p>
            <w:pPr>
              <w:spacing w:before="10" w:after="10"/>
              <w:jc w:val="center"/>
            </w:pPr>
            <w:r>
              <w:rPr>
                <w:sz w:val="13"/>
                <w:szCs w:val="13"/>
              </w:rPr>
              <w:t>Pos</w:t>
            </w:r>
          </w:p>
        </w:tc>
        <w:tc>
          <w:tcPr>
            <w:tcW w:w="177" w:type="pct"/>
            <w:tcMar>
              <w:top w:w="20" w:type="dxa"/>
              <w:left w:w="30" w:type="dxa"/>
              <w:bottom w:w="20" w:type="dxa"/>
              <w:right w:w="30" w:type="dxa"/>
            </w:tcMar>
            <w:vAlign w:val="center"/>
          </w:tcPr>
          <w:p>
            <w:pPr>
              <w:spacing w:before="10" w:after="10"/>
              <w:jc w:val="center"/>
            </w:pPr>
            <w:r>
              <w:rPr>
                <w:sz w:val="13"/>
                <w:szCs w:val="13"/>
              </w:rPr>
              <w:t>R</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w:t>
            </w:r>
          </w:p>
        </w:tc>
        <w:tc>
          <w:tcPr>
            <w:tcW w:w="177" w:type="pct"/>
            <w:tcMar>
              <w:top w:w="20" w:type="dxa"/>
              <w:left w:w="30" w:type="dxa"/>
              <w:bottom w:w="20" w:type="dxa"/>
              <w:right w:w="30" w:type="dxa"/>
            </w:tcMar>
            <w:vAlign w:val="center"/>
          </w:tcPr>
          <w:p>
            <w:pPr>
              <w:spacing w:before="10" w:after="10"/>
              <w:jc w:val="center"/>
            </w:pPr>
            <w:r>
              <w:rPr>
                <w:sz w:val="13"/>
                <w:szCs w:val="13"/>
              </w:rPr>
              <w:t>S</w:t>
            </w:r>
          </w:p>
        </w:tc>
        <w:tc>
          <w:tcPr>
            <w:tcW w:w="215" w:type="pct"/>
            <w:tcMar>
              <w:top w:w="20" w:type="dxa"/>
              <w:left w:w="30" w:type="dxa"/>
              <w:bottom w:w="20" w:type="dxa"/>
              <w:right w:w="30" w:type="dxa"/>
            </w:tcMar>
            <w:vAlign w:val="center"/>
          </w:tcPr>
          <w:p>
            <w:pPr>
              <w:spacing w:before="10" w:after="10"/>
              <w:jc w:val="center"/>
            </w:pPr>
            <w:r>
              <w:rPr>
                <w:sz w:val="13"/>
                <w:szCs w:val="13"/>
              </w:rPr>
              <w:t>5</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c>
          <w:tcPr>
            <w:tcW w:w="215" w:type="pct"/>
            <w:tcMar>
              <w:top w:w="20" w:type="dxa"/>
              <w:left w:w="30" w:type="dxa"/>
              <w:bottom w:w="20" w:type="dxa"/>
              <w:right w:w="30" w:type="dxa"/>
            </w:tcMar>
            <w:vAlign w:val="center"/>
          </w:tcPr>
          <w:p>
            <w:pPr>
              <w:spacing w:before="10" w:after="10"/>
              <w:jc w:val="center"/>
            </w:pPr>
            <w:r>
              <w:rPr>
                <w:sz w:val="13"/>
                <w:szCs w:val="13"/>
              </w:rPr>
              <w:t>6</w:t>
            </w:r>
          </w:p>
        </w:tc>
        <w:tc>
          <w:tcPr>
            <w:tcW w:w="215" w:type="pct"/>
            <w:tcMar>
              <w:top w:w="20" w:type="dxa"/>
              <w:left w:w="30" w:type="dxa"/>
              <w:bottom w:w="20" w:type="dxa"/>
              <w:right w:w="30" w:type="dxa"/>
            </w:tcMar>
            <w:vAlign w:val="center"/>
          </w:tcPr>
          <w:p>
            <w:pPr>
              <w:spacing w:before="10" w:after="10"/>
              <w:jc w:val="center"/>
            </w:pPr>
            <w:r>
              <w:rPr>
                <w:sz w:val="13"/>
                <w:szCs w:val="13"/>
              </w:rPr>
              <w:t>3</w:t>
            </w:r>
          </w:p>
        </w:tc>
        <w:tc>
          <w:tcPr>
            <w:tcW w:w="215" w:type="pct"/>
            <w:tcMar>
              <w:top w:w="20" w:type="dxa"/>
              <w:left w:w="30" w:type="dxa"/>
              <w:bottom w:w="20" w:type="dxa"/>
              <w:right w:w="30" w:type="dxa"/>
            </w:tcMar>
            <w:vAlign w:val="center"/>
          </w:tcPr>
          <w:p>
            <w:pPr>
              <w:spacing w:before="10" w:after="10"/>
              <w:jc w:val="center"/>
            </w:pPr>
            <w:r>
              <w:rPr>
                <w:sz w:val="13"/>
                <w:szCs w:val="13"/>
              </w:rPr>
              <w:t>Yes</w:t>
            </w:r>
          </w:p>
        </w:tc>
      </w:tr>
    </w:tbl>
    <w:p>
      <w:pPr>
        <w:spacing w:after="20"/>
      </w:pPr>
      <w:r>
        <w:rPr>
          <w:b/>
        </w:rPr>
        <w:t xml:space="preserve">Definitions. </w:t>
      </w:r>
      <w:r>
        <w:t>Primary definition: non-susceptibility to ≥1 agent in ≥3 antimicrobial classes with recognized antipneumococcal activity and an independent applicable CLSI Streptococcus pneumoniae interpretive criterion (penicillins [penicillin only], extended-spectrum cephalosporins, macrolides, lincosamides, phenicols, tetracyclines, glycopeptides). Ampicillin is excluded from the primary definition because CLSI M100 does not provide an independent organism-specific breakpoint for ampicillin against S. pneumoniae; its categorical result is a surrogate interpretation from penicillin (see Methods and Supplementary Table S4). Broader nine-category definition: the scheme used in the original</w:t>
      </w:r>
      <w:r>
        <w:rPr>
          <w:color w:val="FF0000"/>
          <w:highlight w:val="green"/>
        </w:rPr>
        <w:t xml:space="preserve"> protocol,</w:t>
      </w:r>
      <w:r>
        <w:t xml:space="preserve"> additionally counting the</w:t>
      </w:r>
      <w:r>
        <w:rPr>
          <w:color w:val="FF0000"/>
          <w:highlight w:val="green"/>
        </w:rPr>
        <w:t xml:space="preserve"> surrogate ampicillin result and</w:t>
      </w:r>
      <w:r>
        <w:t xml:space="preserve"> oxacillin screen within the penicillin class, ceftazidime within the cephalosporin class, and the aminoglycoside and fluoroquinolone</w:t>
      </w:r>
      <w:r>
        <w:rPr>
          <w:color w:val="FF0000"/>
          <w:highlight w:val="green"/>
        </w:rPr>
        <w:t xml:space="preserve"> classes.</w:t>
      </w:r>
    </w:p>
    <w:p>
      <w:pPr>
        <w:spacing w:after="20"/>
      </w:pPr>
      <w:r>
        <w:rPr>
          <w:b/>
        </w:rPr>
        <w:t xml:space="preserve">Rule for untested classes. </w:t>
      </w:r>
      <w:r>
        <w:t>A class not tested for a given isolate was excluded from that isolate’s denominator and was never imputed as susceptible. Isolates with fewer than three evaluable classes would have been excluded from the multidrug-resistance analysis; no isolate met this exclusion.</w:t>
      </w:r>
    </w:p>
    <w:p>
      <w:pPr>
        <w:spacing w:after="20"/>
      </w:pPr>
      <w:r>
        <w:rPr>
          <w:b/>
        </w:rPr>
        <w:t xml:space="preserve">Testing intensity. </w:t>
      </w:r>
      <w:r>
        <w:t>Isolates were tested against a median of 11 individual agents (range 6–15), corresponding to a median of 6 evaluable classes (range 4–7) under the primary definition and 7 classes (range 5–9) under the broader nine-category definition. The susceptibility panel was selected by the treating team according to clinical syndrome and specimen type rather than by protocol, which is the source of this variation.</w:t>
      </w:r>
    </w:p>
    <w:p>
      <w:pPr>
        <w:spacing w:after="20"/>
      </w:pPr>
      <w:r>
        <w:rPr>
          <w:b/>
          <w:highlight w:val="yellow"/>
        </w:rPr>
        <w:lastRenderedPageBreak/>
        <w:t xml:space="preserve">Totals. </w:t>
      </w:r>
      <w:r>
        <w:rPr>
          <w:highlight w:val="yellow"/>
        </w:rPr>
        <w:t>38 of 58 isolates (65.5%) met the primary definition and 52 of 58 (89.7%) met the broader nine-category definition. The 14-isolate difference is attributable to the surrogate ampicillin result, the oxacillin screen, ceftazidime, gentamicin and the fluoroquinolones, none of which contributes to the primary organism-appropriate definition.</w:t>
      </w:r>
    </w:p>
    <w:p>
      <w:pPr>
        <w:spacing w:after="20"/>
      </w:pPr>
      <w:r>
        <w:rPr>
          <w:b/>
          <w:highlight w:val="yellow"/>
        </w:rPr>
        <w:t>Correction. On re-adjudication for this revision, isolate 38 was found to be non-susceptible to one class under the primary definition and to two classes under the broader nine-category definition (penicillins, via a positive oxacillin screen, and lincosamides), and is therefore classified as non-multidrug-resistant under both. This isolate had been recorded as multidrug-resistant in an earlier working version of this isolate-level table. The headline prevalence reported in the manuscript (38 of 58, 65.5%, under the primary definition restricted to agents with an independent pneumococcal breakpoint) is unaffected by this correction; isolate 38 was, and remains, non-MDR under both definitions, and the correction resolves an internal inconsistency within the supplementary table only.</w:t>
      </w:r>
    </w:p>
    <w:p>
      <w:pPr>
        <w:spacing w:after="20"/>
      </w:pPr>
      <w:r>
        <w:rPr>
          <w:b/>
        </w:rPr>
        <w:t xml:space="preserve">Data availability. </w:t>
      </w:r>
      <w:r>
        <w:t>The machine-readable version of this table, with a codebook defining every variable and value code, is deposited in the Zenodo repository.</w:t>
      </w:r>
    </w:p>
    <w:p>
      <w:r>
        <w:br w:type="page"/>
      </w:r>
    </w:p>
    <w:p>
      <w:r>
        <w:rPr>
          <w:b/>
          <w:sz w:val="19"/>
          <w:highlight w:val="yellow"/>
        </w:rPr>
        <w:lastRenderedPageBreak/>
        <w:t xml:space="preserve">Supplementary Table S2. </w:t>
      </w:r>
      <w:r>
        <w:rPr>
          <w:b/>
          <w:sz w:val="19"/>
        </w:rPr>
        <w:t>Laboratory testing workflow, interpretive standard, and quality-control procedures by study year.</w:t>
      </w:r>
    </w:p>
    <w:tbl>
      <w:tblPr>
        <w:tblStyle w:val="TableGrid"/>
        <w:tblW w:w="0" w:type="auto"/>
        <w:jc w:val="center"/>
        <w:tblLook w:val="04A0" w:firstRow="1" w:lastRow="0" w:firstColumn="1" w:lastColumn="0" w:noHBand="0" w:noVBand="1"/>
      </w:tblPr>
      <w:tblGrid>
        <w:gridCol w:w="2400"/>
        <w:gridCol w:w="2400"/>
        <w:gridCol w:w="2400"/>
        <w:gridCol w:w="2400"/>
        <w:gridCol w:w="2400"/>
        <w:gridCol w:w="2400"/>
      </w:tblGrid>
      <w:tr>
        <w:trPr>
          <w:tblHeader/>
          <w:jc w:val="center"/>
        </w:trPr>
        <w:tc>
          <w:tcPr>
            <w:tcW w:w="2400" w:type="dxa"/>
            <w:shd w:val="clear" w:color="auto" w:fill="D9D9D9"/>
            <w:vAlign w:val="center"/>
          </w:tcPr>
          <w:p>
            <w:pPr>
              <w:jc w:val="center"/>
            </w:pPr>
            <w:r>
              <w:rPr>
                <w:b/>
                <w:sz w:val="15"/>
              </w:rPr>
              <w:t>Study year</w:t>
            </w:r>
          </w:p>
        </w:tc>
        <w:tc>
          <w:tcPr>
            <w:tcW w:w="2400" w:type="dxa"/>
            <w:shd w:val="clear" w:color="auto" w:fill="D9D9D9"/>
            <w:vAlign w:val="center"/>
          </w:tcPr>
          <w:p>
            <w:pPr>
              <w:jc w:val="center"/>
            </w:pPr>
            <w:r>
              <w:rPr>
                <w:b/>
                <w:sz w:val="15"/>
              </w:rPr>
              <w:t>Routine susceptibility testing and oxacillin screen</w:t>
            </w:r>
          </w:p>
        </w:tc>
        <w:tc>
          <w:tcPr>
            <w:tcW w:w="2400" w:type="dxa"/>
            <w:shd w:val="clear" w:color="auto" w:fill="D9D9D9"/>
            <w:vAlign w:val="center"/>
          </w:tcPr>
          <w:p>
            <w:pPr>
              <w:jc w:val="center"/>
            </w:pPr>
            <w:r>
              <w:rPr>
                <w:b/>
                <w:sz w:val="15"/>
              </w:rPr>
              <w:t>Confirmatory MIC assessment</w:t>
            </w:r>
          </w:p>
        </w:tc>
        <w:tc>
          <w:tcPr>
            <w:tcW w:w="2400" w:type="dxa"/>
            <w:shd w:val="clear" w:color="auto" w:fill="D9D9D9"/>
            <w:vAlign w:val="center"/>
          </w:tcPr>
          <w:p>
            <w:pPr>
              <w:jc w:val="center"/>
            </w:pPr>
            <w:r>
              <w:rPr>
                <w:b/>
                <w:sz w:val="15"/>
              </w:rPr>
              <w:t>CLSI interpretation</w:t>
            </w:r>
          </w:p>
        </w:tc>
        <w:tc>
          <w:tcPr>
            <w:tcW w:w="2400" w:type="dxa"/>
            <w:shd w:val="clear" w:color="auto" w:fill="D9D9D9"/>
            <w:vAlign w:val="center"/>
          </w:tcPr>
          <w:p>
            <w:pPr>
              <w:jc w:val="center"/>
            </w:pPr>
            <w:r>
              <w:rPr>
                <w:b/>
                <w:sz w:val="15"/>
              </w:rPr>
              <w:t>Quality control</w:t>
            </w:r>
          </w:p>
        </w:tc>
        <w:tc>
          <w:tcPr>
            <w:tcW w:w="2400" w:type="dxa"/>
            <w:shd w:val="clear" w:color="auto" w:fill="D9D9D9"/>
            <w:vAlign w:val="center"/>
          </w:tcPr>
          <w:p>
            <w:pPr>
              <w:jc w:val="center"/>
            </w:pPr>
            <w:r>
              <w:rPr>
                <w:b/>
                <w:sz w:val="15"/>
              </w:rPr>
              <w:t>Availability of quantitative data</w:t>
            </w:r>
          </w:p>
        </w:tc>
      </w:tr>
      <w:tr>
        <w:trPr>
          <w:jc w:val="center"/>
        </w:trPr>
        <w:tc>
          <w:tcPr>
            <w:tcW w:w="2400" w:type="dxa"/>
            <w:tcMar>
              <w:top w:w="40" w:type="dxa"/>
              <w:left w:w="50" w:type="dxa"/>
              <w:bottom w:w="40" w:type="dxa"/>
              <w:right w:w="50" w:type="dxa"/>
            </w:tcMar>
          </w:tcPr>
          <w:p>
            <w:pPr>
              <w:jc w:val="center"/>
            </w:pPr>
            <w:r>
              <w:rPr>
                <w:b/>
                <w:sz w:val="14"/>
                <w:highlight w:val="yellow"/>
              </w:rPr>
              <w:t>2022</w:t>
            </w:r>
          </w:p>
        </w:tc>
        <w:tc>
          <w:tcPr>
            <w:tcW w:w="2400" w:type="dxa"/>
            <w:tcMar>
              <w:top w:w="40" w:type="dxa"/>
              <w:left w:w="50" w:type="dxa"/>
              <w:bottom w:w="40" w:type="dxa"/>
              <w:right w:w="50" w:type="dxa"/>
            </w:tcMar>
          </w:tcPr>
          <w:p>
            <w:r>
              <w:rPr>
                <w:sz w:val="14"/>
                <w:highlight w:val="yellow"/>
              </w:rPr>
              <w:t>VITEK 2 Compact with AST-GP67 card. Oxacillin 1 µg disk used only to screen for penicillin non-susceptibility; zone &lt;20 mm = screen-positive and requires confirmatory penicillin MIC testing.</w:t>
            </w:r>
          </w:p>
        </w:tc>
        <w:tc>
          <w:tcPr>
            <w:tcW w:w="2400" w:type="dxa"/>
            <w:tcMar>
              <w:top w:w="40" w:type="dxa"/>
              <w:left w:w="50" w:type="dxa"/>
              <w:bottom w:w="40" w:type="dxa"/>
              <w:right w:w="50" w:type="dxa"/>
            </w:tcMar>
          </w:tcPr>
          <w:p>
            <w:r>
              <w:rPr>
                <w:sz w:val="14"/>
                <w:highlight w:val="yellow"/>
              </w:rPr>
              <w:t>Gradient diffusion (Etest, bioMérieux) for penicillin and for cefotaxime or ceftriaxone when the oxacillin screen was positive; also used for other clinically important isolates requiring confirmatory MIC assessment.</w:t>
            </w:r>
          </w:p>
        </w:tc>
        <w:tc>
          <w:tcPr>
            <w:tcW w:w="2400" w:type="dxa"/>
            <w:tcMar>
              <w:top w:w="40" w:type="dxa"/>
              <w:left w:w="50" w:type="dxa"/>
              <w:bottom w:w="40" w:type="dxa"/>
              <w:right w:w="50" w:type="dxa"/>
            </w:tcMar>
          </w:tcPr>
          <w:p>
            <w:r>
              <w:rPr>
                <w:sz w:val="14"/>
                <w:highlight w:val="yellow"/>
              </w:rPr>
              <w:t>CLSI M100, 32nd ed. (2022); parenteral non-meningitis criteria applied for penicillin (S ≤2, I 4, R ≥8 µg/mL) and cefotaxime/ceftriaxone (S ≤1, I 2, R ≥4 µg/mL). Oral penicillin V criteria were not applied. Other reportable agents were interpreted contemporaneously under the study-year CLSI edition.</w:t>
            </w:r>
          </w:p>
        </w:tc>
        <w:tc>
          <w:tcPr>
            <w:tcW w:w="2400" w:type="dxa"/>
            <w:tcMar>
              <w:top w:w="40" w:type="dxa"/>
              <w:left w:w="50" w:type="dxa"/>
              <w:bottom w:w="40" w:type="dxa"/>
              <w:right w:w="50" w:type="dxa"/>
            </w:tcMar>
          </w:tcPr>
          <w:p>
            <w:r>
              <w:rPr>
                <w:sz w:val="14"/>
                <w:highlight w:val="yellow"/>
              </w:rPr>
              <w:t>Streptococcus pneumoniae ATCC 49619. Disk and gradient-diffusion QC weekly after satisfactory performance on 20–30 consecutive days; each new VITEK 2 card lot underwent lot-to-lot verification.</w:t>
            </w:r>
          </w:p>
        </w:tc>
        <w:tc>
          <w:tcPr>
            <w:tcW w:w="2400" w:type="dxa"/>
            <w:tcMar>
              <w:top w:w="40" w:type="dxa"/>
              <w:left w:w="50" w:type="dxa"/>
              <w:bottom w:w="40" w:type="dxa"/>
              <w:right w:w="50" w:type="dxa"/>
            </w:tcMar>
          </w:tcPr>
          <w:p>
            <w:r>
              <w:rPr>
                <w:sz w:val="14"/>
                <w:highlight w:val="yellow"/>
              </w:rPr>
              <w:t>Numerical MIC values and inhibition-zone diameters were not transferred to the study database and could not be retrieved. Only the categorical interpretations issued by the clinical laboratory at the time of testing were available for analysis.</w:t>
            </w:r>
          </w:p>
        </w:tc>
      </w:tr>
      <w:tr>
        <w:trPr>
          <w:jc w:val="center"/>
        </w:trPr>
        <w:tc>
          <w:tcPr>
            <w:tcW w:w="2400" w:type="dxa"/>
            <w:tcMar>
              <w:top w:w="40" w:type="dxa"/>
              <w:left w:w="50" w:type="dxa"/>
              <w:bottom w:w="40" w:type="dxa"/>
              <w:right w:w="50" w:type="dxa"/>
            </w:tcMar>
          </w:tcPr>
          <w:p>
            <w:pPr>
              <w:jc w:val="center"/>
            </w:pPr>
            <w:r>
              <w:rPr>
                <w:b/>
                <w:sz w:val="14"/>
                <w:highlight w:val="yellow"/>
              </w:rPr>
              <w:t>2023</w:t>
            </w:r>
          </w:p>
        </w:tc>
        <w:tc>
          <w:tcPr>
            <w:tcW w:w="2400" w:type="dxa"/>
            <w:tcMar>
              <w:top w:w="40" w:type="dxa"/>
              <w:left w:w="50" w:type="dxa"/>
              <w:bottom w:w="40" w:type="dxa"/>
              <w:right w:w="50" w:type="dxa"/>
            </w:tcMar>
          </w:tcPr>
          <w:p>
            <w:r>
              <w:rPr>
                <w:sz w:val="14"/>
                <w:highlight w:val="yellow"/>
              </w:rPr>
              <w:t>VITEK 2 Compact with AST-GP67 card. Oxacillin 1 µg disk used only to screen for penicillin non-susceptibility; zone &lt;20 mm = screen-positive and requires confirmatory penicillin MIC testing.</w:t>
            </w:r>
          </w:p>
        </w:tc>
        <w:tc>
          <w:tcPr>
            <w:tcW w:w="2400" w:type="dxa"/>
            <w:tcMar>
              <w:top w:w="40" w:type="dxa"/>
              <w:left w:w="50" w:type="dxa"/>
              <w:bottom w:w="40" w:type="dxa"/>
              <w:right w:w="50" w:type="dxa"/>
            </w:tcMar>
          </w:tcPr>
          <w:p>
            <w:r>
              <w:rPr>
                <w:sz w:val="14"/>
                <w:highlight w:val="yellow"/>
              </w:rPr>
              <w:t>Gradient diffusion (Etest, bioMérieux) for penicillin and for cefotaxime or ceftriaxone when the oxacillin screen was positive; also used for other clinically important isolates requiring confirmatory MIC assessment.</w:t>
            </w:r>
          </w:p>
        </w:tc>
        <w:tc>
          <w:tcPr>
            <w:tcW w:w="2400" w:type="dxa"/>
            <w:tcMar>
              <w:top w:w="40" w:type="dxa"/>
              <w:left w:w="50" w:type="dxa"/>
              <w:bottom w:w="40" w:type="dxa"/>
              <w:right w:w="50" w:type="dxa"/>
            </w:tcMar>
          </w:tcPr>
          <w:p>
            <w:r>
              <w:rPr>
                <w:sz w:val="14"/>
                <w:highlight w:val="yellow"/>
              </w:rPr>
              <w:t>CLSI M100, 33rd ed. (2023); parenteral non-meningitis criteria applied for penicillin (S ≤2, I 4, R ≥8 µg/mL) and cefotaxime/ceftriaxone (S ≤1, I 2, R ≥4 µg/mL). Oral penicillin V criteria were not applied. Other reportable agents were interpreted contemporaneously under the study-year CLSI edition.</w:t>
            </w:r>
          </w:p>
        </w:tc>
        <w:tc>
          <w:tcPr>
            <w:tcW w:w="2400" w:type="dxa"/>
            <w:tcMar>
              <w:top w:w="40" w:type="dxa"/>
              <w:left w:w="50" w:type="dxa"/>
              <w:bottom w:w="40" w:type="dxa"/>
              <w:right w:w="50" w:type="dxa"/>
            </w:tcMar>
          </w:tcPr>
          <w:p>
            <w:r>
              <w:rPr>
                <w:sz w:val="14"/>
                <w:highlight w:val="yellow"/>
              </w:rPr>
              <w:t>Streptococcus pneumoniae ATCC 49619. Disk and gradient-diffusion QC weekly after satisfactory performance on 20–30 consecutive days; each new VITEK 2 card lot underwent lot-to-lot verification.</w:t>
            </w:r>
          </w:p>
        </w:tc>
        <w:tc>
          <w:tcPr>
            <w:tcW w:w="2400" w:type="dxa"/>
            <w:tcMar>
              <w:top w:w="40" w:type="dxa"/>
              <w:left w:w="50" w:type="dxa"/>
              <w:bottom w:w="40" w:type="dxa"/>
              <w:right w:w="50" w:type="dxa"/>
            </w:tcMar>
          </w:tcPr>
          <w:p>
            <w:r>
              <w:rPr>
                <w:sz w:val="14"/>
                <w:highlight w:val="yellow"/>
              </w:rPr>
              <w:t>Numerical MIC values and inhibition-zone diameters were not transferred to the study database and could not be retrieved. Only the categorical interpretations issued by the clinical laboratory at the time of testing were available for analysis.</w:t>
            </w:r>
          </w:p>
        </w:tc>
      </w:tr>
      <w:tr>
        <w:trPr>
          <w:jc w:val="center"/>
        </w:trPr>
        <w:tc>
          <w:tcPr>
            <w:tcW w:w="2400" w:type="dxa"/>
            <w:tcMar>
              <w:top w:w="40" w:type="dxa"/>
              <w:left w:w="50" w:type="dxa"/>
              <w:bottom w:w="40" w:type="dxa"/>
              <w:right w:w="50" w:type="dxa"/>
            </w:tcMar>
          </w:tcPr>
          <w:p>
            <w:pPr>
              <w:jc w:val="center"/>
            </w:pPr>
            <w:r>
              <w:rPr>
                <w:b/>
                <w:sz w:val="14"/>
                <w:highlight w:val="yellow"/>
              </w:rPr>
              <w:t>2024</w:t>
            </w:r>
          </w:p>
        </w:tc>
        <w:tc>
          <w:tcPr>
            <w:tcW w:w="2400" w:type="dxa"/>
            <w:tcMar>
              <w:top w:w="40" w:type="dxa"/>
              <w:left w:w="50" w:type="dxa"/>
              <w:bottom w:w="40" w:type="dxa"/>
              <w:right w:w="50" w:type="dxa"/>
            </w:tcMar>
          </w:tcPr>
          <w:p>
            <w:r>
              <w:rPr>
                <w:sz w:val="14"/>
                <w:highlight w:val="yellow"/>
              </w:rPr>
              <w:t>VITEK 2 Compact with AST-GP67 card. Oxacillin 1 µg disk used only to screen for penicillin non-susceptibility; zone &lt;20 mm = screen-positive and requires confirmatory penicillin MIC testing.</w:t>
            </w:r>
          </w:p>
        </w:tc>
        <w:tc>
          <w:tcPr>
            <w:tcW w:w="2400" w:type="dxa"/>
            <w:tcMar>
              <w:top w:w="40" w:type="dxa"/>
              <w:left w:w="50" w:type="dxa"/>
              <w:bottom w:w="40" w:type="dxa"/>
              <w:right w:w="50" w:type="dxa"/>
            </w:tcMar>
          </w:tcPr>
          <w:p>
            <w:r>
              <w:rPr>
                <w:sz w:val="14"/>
                <w:highlight w:val="yellow"/>
              </w:rPr>
              <w:t>Gradient diffusion (Etest, bioMérieux) for penicillin and for cefotaxime or ceftriaxone when the oxacillin screen was positive; also used for other clinically important isolates requiring confirmatory MIC assessment.</w:t>
            </w:r>
          </w:p>
        </w:tc>
        <w:tc>
          <w:tcPr>
            <w:tcW w:w="2400" w:type="dxa"/>
            <w:tcMar>
              <w:top w:w="40" w:type="dxa"/>
              <w:left w:w="50" w:type="dxa"/>
              <w:bottom w:w="40" w:type="dxa"/>
              <w:right w:w="50" w:type="dxa"/>
            </w:tcMar>
          </w:tcPr>
          <w:p>
            <w:r>
              <w:rPr>
                <w:sz w:val="14"/>
                <w:highlight w:val="yellow"/>
              </w:rPr>
              <w:t>CLSI M100, 34th ed. (2024); parenteral non-meningitis criteria applied for penicillin (S ≤2, I 4, R ≥8 µg/mL) and cefotaxime/ceftriaxone (S ≤1, I 2, R ≥4 µg/mL). Oral penicillin V criteria were not applied. Other reportable agents were interpreted contemporaneously under the study-year CLSI edition.</w:t>
            </w:r>
          </w:p>
        </w:tc>
        <w:tc>
          <w:tcPr>
            <w:tcW w:w="2400" w:type="dxa"/>
            <w:tcMar>
              <w:top w:w="40" w:type="dxa"/>
              <w:left w:w="50" w:type="dxa"/>
              <w:bottom w:w="40" w:type="dxa"/>
              <w:right w:w="50" w:type="dxa"/>
            </w:tcMar>
          </w:tcPr>
          <w:p>
            <w:r>
              <w:rPr>
                <w:sz w:val="14"/>
                <w:highlight w:val="yellow"/>
              </w:rPr>
              <w:t>Streptococcus pneumoniae ATCC 49619. Disk and gradient-diffusion QC weekly after satisfactory performance on 20–30 consecutive days; each new VITEK 2 card lot underwent lot-to-lot verification.</w:t>
            </w:r>
          </w:p>
        </w:tc>
        <w:tc>
          <w:tcPr>
            <w:tcW w:w="2400" w:type="dxa"/>
            <w:tcMar>
              <w:top w:w="40" w:type="dxa"/>
              <w:left w:w="50" w:type="dxa"/>
              <w:bottom w:w="40" w:type="dxa"/>
              <w:right w:w="50" w:type="dxa"/>
            </w:tcMar>
          </w:tcPr>
          <w:p>
            <w:r>
              <w:rPr>
                <w:sz w:val="14"/>
                <w:highlight w:val="yellow"/>
              </w:rPr>
              <w:t>Numerical MIC values and inhibition-zone diameters were not transferred to the study database and could not be retrieved. Only the categorical interpretations issued by the clinical laboratory at the time of testing were available for analysis.</w:t>
            </w:r>
          </w:p>
        </w:tc>
      </w:tr>
    </w:tbl>
    <w:p>
      <w:r>
        <w:rPr>
          <w:b/>
          <w:highlight w:val="yellow"/>
        </w:rPr>
        <w:t xml:space="preserve">Note. </w:t>
      </w:r>
      <w:r>
        <w:rPr>
          <w:highlight w:val="yellow"/>
        </w:rPr>
        <w:t>The raw numerical MIC values and oxacillin inhibition-zone diameters were unavailable for retrospective re-interpretation; therefore, results are reported exactly as the contemporaneous categorical laboratory interpretations under the CLSI edition in force in each study year.</w:t>
      </w:r>
    </w:p>
    <w:p>
      <w:r>
        <w:br w:type="page"/>
      </w:r>
    </w:p>
    <w:p>
      <w:r>
        <w:rPr>
          <w:b/>
          <w:sz w:val="19"/>
          <w:highlight w:val="yellow"/>
        </w:rPr>
        <w:lastRenderedPageBreak/>
        <w:t xml:space="preserve">Supplementary Table S3. </w:t>
      </w:r>
      <w:r>
        <w:rPr>
          <w:b/>
          <w:sz w:val="19"/>
        </w:rPr>
        <w:t>Antimicrobial susceptibility and screening results of Streptococcus pneumoniae by study year, with agent-specific denominators and 95% confidence intervals.</w:t>
      </w:r>
    </w:p>
    <w:tbl>
      <w:tblPr>
        <w:tblStyle w:val="TableGrid"/>
        <w:tblW w:w="0" w:type="auto"/>
        <w:jc w:val="center"/>
        <w:tblLook w:val="04A0" w:firstRow="1" w:lastRow="0" w:firstColumn="1" w:lastColumn="0" w:noHBand="0" w:noVBand="1"/>
      </w:tblPr>
      <w:tblGrid>
        <w:gridCol w:w="2057"/>
        <w:gridCol w:w="2057"/>
        <w:gridCol w:w="2057"/>
        <w:gridCol w:w="2057"/>
        <w:gridCol w:w="2057"/>
        <w:gridCol w:w="2057"/>
        <w:gridCol w:w="2057"/>
      </w:tblGrid>
      <w:tr>
        <w:trPr>
          <w:tblHeader/>
          <w:jc w:val="center"/>
        </w:trPr>
        <w:tc>
          <w:tcPr>
            <w:tcW w:w="2057" w:type="dxa"/>
            <w:vMerge w:val="restart"/>
            <w:shd w:val="clear" w:color="auto" w:fill="D9D9D9"/>
            <w:tcMar>
              <w:top w:w="35" w:type="dxa"/>
              <w:left w:w="45" w:type="dxa"/>
              <w:bottom w:w="35" w:type="dxa"/>
              <w:right w:w="45" w:type="dxa"/>
            </w:tcMar>
            <w:vAlign w:val="center"/>
          </w:tcPr>
          <w:p>
            <w:pPr>
              <w:jc w:val="center"/>
            </w:pPr>
            <w:r>
              <w:rPr>
                <w:b/>
                <w:sz w:val="15"/>
              </w:rPr>
              <w:t>Antimicrobial agent / outcome</w:t>
            </w:r>
          </w:p>
        </w:tc>
        <w:tc>
          <w:tcPr>
            <w:tcW w:w="4114" w:type="dxa"/>
            <w:gridSpan w:val="2"/>
            <w:shd w:val="clear" w:color="auto" w:fill="D9D9D9"/>
            <w:tcMar>
              <w:top w:w="35" w:type="dxa"/>
              <w:left w:w="45" w:type="dxa"/>
              <w:bottom w:w="35" w:type="dxa"/>
              <w:right w:w="45" w:type="dxa"/>
            </w:tcMar>
            <w:vAlign w:val="center"/>
          </w:tcPr>
          <w:p>
            <w:pPr>
              <w:jc w:val="center"/>
            </w:pPr>
            <w:r>
              <w:rPr>
                <w:b/>
                <w:sz w:val="15"/>
              </w:rPr>
              <w:t>2022 (17 isolates)</w:t>
            </w:r>
          </w:p>
        </w:tc>
        <w:tc>
          <w:tcPr>
            <w:tcW w:w="4114" w:type="dxa"/>
            <w:gridSpan w:val="2"/>
            <w:shd w:val="clear" w:color="auto" w:fill="D9D9D9"/>
            <w:tcMar>
              <w:top w:w="35" w:type="dxa"/>
              <w:left w:w="45" w:type="dxa"/>
              <w:bottom w:w="35" w:type="dxa"/>
              <w:right w:w="45" w:type="dxa"/>
            </w:tcMar>
            <w:vAlign w:val="center"/>
          </w:tcPr>
          <w:p>
            <w:pPr>
              <w:jc w:val="center"/>
            </w:pPr>
            <w:r>
              <w:rPr>
                <w:b/>
                <w:sz w:val="15"/>
              </w:rPr>
              <w:t>2023 (23 isolates)</w:t>
            </w:r>
          </w:p>
        </w:tc>
        <w:tc>
          <w:tcPr>
            <w:tcW w:w="4114" w:type="dxa"/>
            <w:gridSpan w:val="2"/>
            <w:shd w:val="clear" w:color="auto" w:fill="D9D9D9"/>
            <w:tcMar>
              <w:top w:w="35" w:type="dxa"/>
              <w:left w:w="45" w:type="dxa"/>
              <w:bottom w:w="35" w:type="dxa"/>
              <w:right w:w="45" w:type="dxa"/>
            </w:tcMar>
            <w:vAlign w:val="center"/>
          </w:tcPr>
          <w:p>
            <w:pPr>
              <w:jc w:val="center"/>
            </w:pPr>
            <w:r>
              <w:rPr>
                <w:b/>
                <w:sz w:val="15"/>
              </w:rPr>
              <w:t>2024 (18 isolates)</w:t>
            </w:r>
          </w:p>
        </w:tc>
      </w:tr>
      <w:tr>
        <w:trPr>
          <w:tblHeader/>
          <w:jc w:val="center"/>
        </w:trPr>
        <w:tc>
          <w:tcPr>
            <w:tcW w:w="2057" w:type="dxa"/>
            <w:vMerge/>
          </w:tcPr>
          <w:p/>
        </w:tc>
        <w:tc>
          <w:tcPr>
            <w:tcW w:w="2057" w:type="dxa"/>
            <w:shd w:val="clear" w:color="auto" w:fill="D9D9D9"/>
            <w:tcMar>
              <w:top w:w="35" w:type="dxa"/>
              <w:left w:w="45" w:type="dxa"/>
              <w:bottom w:w="35" w:type="dxa"/>
              <w:right w:w="45" w:type="dxa"/>
            </w:tcMar>
            <w:vAlign w:val="center"/>
          </w:tcPr>
          <w:p>
            <w:pPr>
              <w:jc w:val="center"/>
            </w:pPr>
            <w:r>
              <w:rPr>
                <w:b/>
                <w:sz w:val="15"/>
              </w:rPr>
              <w:t>No. tested</w:t>
            </w:r>
          </w:p>
        </w:tc>
        <w:tc>
          <w:tcPr>
            <w:tcW w:w="2057" w:type="dxa"/>
            <w:shd w:val="clear" w:color="auto" w:fill="D9D9D9"/>
            <w:tcMar>
              <w:top w:w="35" w:type="dxa"/>
              <w:left w:w="45" w:type="dxa"/>
              <w:bottom w:w="35" w:type="dxa"/>
              <w:right w:w="45" w:type="dxa"/>
            </w:tcMar>
            <w:vAlign w:val="center"/>
          </w:tcPr>
          <w:p>
            <w:pPr>
              <w:jc w:val="center"/>
            </w:pPr>
            <w:r>
              <w:rPr>
                <w:b/>
                <w:sz w:val="15"/>
              </w:rPr>
              <w:t>Result, % (95% CI)</w:t>
            </w:r>
          </w:p>
        </w:tc>
        <w:tc>
          <w:tcPr>
            <w:tcW w:w="2057" w:type="dxa"/>
            <w:shd w:val="clear" w:color="auto" w:fill="D9D9D9"/>
            <w:tcMar>
              <w:top w:w="35" w:type="dxa"/>
              <w:left w:w="45" w:type="dxa"/>
              <w:bottom w:w="35" w:type="dxa"/>
              <w:right w:w="45" w:type="dxa"/>
            </w:tcMar>
            <w:vAlign w:val="center"/>
          </w:tcPr>
          <w:p>
            <w:pPr>
              <w:jc w:val="center"/>
            </w:pPr>
            <w:r>
              <w:rPr>
                <w:b/>
                <w:sz w:val="15"/>
              </w:rPr>
              <w:t>No. tested</w:t>
            </w:r>
          </w:p>
        </w:tc>
        <w:tc>
          <w:tcPr>
            <w:tcW w:w="2057" w:type="dxa"/>
            <w:shd w:val="clear" w:color="auto" w:fill="D9D9D9"/>
            <w:tcMar>
              <w:top w:w="35" w:type="dxa"/>
              <w:left w:w="45" w:type="dxa"/>
              <w:bottom w:w="35" w:type="dxa"/>
              <w:right w:w="45" w:type="dxa"/>
            </w:tcMar>
            <w:vAlign w:val="center"/>
          </w:tcPr>
          <w:p>
            <w:pPr>
              <w:jc w:val="center"/>
            </w:pPr>
            <w:r>
              <w:rPr>
                <w:b/>
                <w:sz w:val="15"/>
              </w:rPr>
              <w:t>Result, % (95% CI)</w:t>
            </w:r>
          </w:p>
        </w:tc>
        <w:tc>
          <w:tcPr>
            <w:tcW w:w="2057" w:type="dxa"/>
            <w:shd w:val="clear" w:color="auto" w:fill="D9D9D9"/>
            <w:tcMar>
              <w:top w:w="35" w:type="dxa"/>
              <w:left w:w="45" w:type="dxa"/>
              <w:bottom w:w="35" w:type="dxa"/>
              <w:right w:w="45" w:type="dxa"/>
            </w:tcMar>
            <w:vAlign w:val="center"/>
          </w:tcPr>
          <w:p>
            <w:pPr>
              <w:jc w:val="center"/>
            </w:pPr>
            <w:r>
              <w:rPr>
                <w:b/>
                <w:sz w:val="15"/>
              </w:rPr>
              <w:t>No. tested</w:t>
            </w:r>
          </w:p>
        </w:tc>
        <w:tc>
          <w:tcPr>
            <w:tcW w:w="2057" w:type="dxa"/>
            <w:shd w:val="clear" w:color="auto" w:fill="D9D9D9"/>
            <w:tcMar>
              <w:top w:w="35" w:type="dxa"/>
              <w:left w:w="45" w:type="dxa"/>
              <w:bottom w:w="35" w:type="dxa"/>
              <w:right w:w="45" w:type="dxa"/>
            </w:tcMar>
            <w:vAlign w:val="center"/>
          </w:tcPr>
          <w:p>
            <w:pPr>
              <w:jc w:val="center"/>
            </w:pPr>
            <w:r>
              <w:rPr>
                <w:b/>
                <w:sz w:val="15"/>
              </w:rPr>
              <w:t>Result, % (95% CI)</w:t>
            </w:r>
          </w:p>
        </w:tc>
      </w:tr>
      <w:tr>
        <w:trPr>
          <w:jc w:val="center"/>
        </w:trPr>
        <w:tc>
          <w:tcPr>
            <w:tcW w:w="14399" w:type="dxa"/>
            <w:gridSpan w:val="7"/>
            <w:shd w:val="clear" w:color="auto" w:fill="E7E6E6"/>
            <w:tcMar>
              <w:top w:w="35" w:type="dxa"/>
              <w:left w:w="45" w:type="dxa"/>
              <w:bottom w:w="35" w:type="dxa"/>
              <w:right w:w="45" w:type="dxa"/>
            </w:tcMar>
            <w:vAlign w:val="center"/>
          </w:tcPr>
          <w:p>
            <w:r>
              <w:t>A. Agents with an independent applicable CLSI S. pneumoniae interpretive criterion — percentage susceptible</w:t>
            </w:r>
          </w:p>
        </w:tc>
      </w:tr>
      <w:tr>
        <w:trPr>
          <w:jc w:val="center"/>
        </w:trPr>
        <w:tc>
          <w:tcPr>
            <w:tcW w:w="2057" w:type="dxa"/>
            <w:tcMar>
              <w:top w:w="35" w:type="dxa"/>
              <w:left w:w="45" w:type="dxa"/>
              <w:bottom w:w="35" w:type="dxa"/>
              <w:right w:w="45" w:type="dxa"/>
            </w:tcMar>
            <w:vAlign w:val="center"/>
          </w:tcPr>
          <w:p>
            <w:r>
              <w:rPr>
                <w:sz w:val="14"/>
              </w:rPr>
              <w:t>PEN Penicillin</w:t>
            </w:r>
          </w:p>
        </w:tc>
        <w:tc>
          <w:tcPr>
            <w:tcW w:w="2057" w:type="dxa"/>
            <w:tcMar>
              <w:top w:w="35" w:type="dxa"/>
              <w:left w:w="45" w:type="dxa"/>
              <w:bottom w:w="35" w:type="dxa"/>
              <w:right w:w="45" w:type="dxa"/>
            </w:tcMar>
            <w:vAlign w:val="center"/>
          </w:tcPr>
          <w:p>
            <w:pPr>
              <w:jc w:val="center"/>
            </w:pPr>
            <w:r>
              <w:rPr>
                <w:sz w:val="14"/>
              </w:rPr>
              <w:t>17</w:t>
            </w:r>
          </w:p>
        </w:tc>
        <w:tc>
          <w:tcPr>
            <w:tcW w:w="2057" w:type="dxa"/>
            <w:tcMar>
              <w:top w:w="35" w:type="dxa"/>
              <w:left w:w="45" w:type="dxa"/>
              <w:bottom w:w="35" w:type="dxa"/>
              <w:right w:w="45" w:type="dxa"/>
            </w:tcMar>
            <w:vAlign w:val="center"/>
          </w:tcPr>
          <w:p>
            <w:pPr>
              <w:jc w:val="center"/>
            </w:pPr>
            <w:r>
              <w:rPr>
                <w:sz w:val="14"/>
              </w:rPr>
              <w:t>47.1 (26.2–69.0)</w:t>
            </w:r>
          </w:p>
        </w:tc>
        <w:tc>
          <w:tcPr>
            <w:tcW w:w="2057" w:type="dxa"/>
            <w:tcMar>
              <w:top w:w="35" w:type="dxa"/>
              <w:left w:w="45" w:type="dxa"/>
              <w:bottom w:w="35" w:type="dxa"/>
              <w:right w:w="45" w:type="dxa"/>
            </w:tcMar>
            <w:vAlign w:val="center"/>
          </w:tcPr>
          <w:p>
            <w:pPr>
              <w:jc w:val="center"/>
            </w:pPr>
            <w:r>
              <w:rPr>
                <w:sz w:val="14"/>
              </w:rPr>
              <w:t>16</w:t>
            </w:r>
          </w:p>
        </w:tc>
        <w:tc>
          <w:tcPr>
            <w:tcW w:w="2057" w:type="dxa"/>
            <w:tcMar>
              <w:top w:w="35" w:type="dxa"/>
              <w:left w:w="45" w:type="dxa"/>
              <w:bottom w:w="35" w:type="dxa"/>
              <w:right w:w="45" w:type="dxa"/>
            </w:tcMar>
            <w:vAlign w:val="center"/>
          </w:tcPr>
          <w:p>
            <w:pPr>
              <w:jc w:val="center"/>
            </w:pPr>
            <w:r>
              <w:rPr>
                <w:sz w:val="14"/>
              </w:rPr>
              <w:t>37.5 (18.5–61.4)</w:t>
            </w:r>
          </w:p>
        </w:tc>
        <w:tc>
          <w:tcPr>
            <w:tcW w:w="2057" w:type="dxa"/>
            <w:tcMar>
              <w:top w:w="35" w:type="dxa"/>
              <w:left w:w="45" w:type="dxa"/>
              <w:bottom w:w="35" w:type="dxa"/>
              <w:right w:w="45" w:type="dxa"/>
            </w:tcMar>
            <w:vAlign w:val="center"/>
          </w:tcPr>
          <w:p>
            <w:pPr>
              <w:jc w:val="center"/>
            </w:pPr>
            <w:r>
              <w:rPr>
                <w:sz w:val="14"/>
              </w:rPr>
              <w:t>16</w:t>
            </w:r>
          </w:p>
        </w:tc>
        <w:tc>
          <w:tcPr>
            <w:tcW w:w="2057" w:type="dxa"/>
            <w:tcMar>
              <w:top w:w="35" w:type="dxa"/>
              <w:left w:w="45" w:type="dxa"/>
              <w:bottom w:w="35" w:type="dxa"/>
              <w:right w:w="45" w:type="dxa"/>
            </w:tcMar>
            <w:vAlign w:val="center"/>
          </w:tcPr>
          <w:p>
            <w:pPr>
              <w:jc w:val="center"/>
            </w:pPr>
            <w:r>
              <w:rPr>
                <w:sz w:val="14"/>
              </w:rPr>
              <w:t>25.0 (10.2–49.5)</w:t>
            </w:r>
          </w:p>
        </w:tc>
      </w:tr>
      <w:tr>
        <w:trPr>
          <w:jc w:val="center"/>
        </w:trPr>
        <w:tc>
          <w:tcPr>
            <w:tcW w:w="2057" w:type="dxa"/>
            <w:tcMar>
              <w:top w:w="35" w:type="dxa"/>
              <w:left w:w="45" w:type="dxa"/>
              <w:bottom w:w="35" w:type="dxa"/>
              <w:right w:w="45" w:type="dxa"/>
            </w:tcMar>
            <w:vAlign w:val="center"/>
          </w:tcPr>
          <w:p>
            <w:r>
              <w:rPr>
                <w:sz w:val="14"/>
              </w:rPr>
              <w:t>CXM Cefuroxime</w:t>
            </w:r>
          </w:p>
        </w:tc>
        <w:tc>
          <w:tcPr>
            <w:tcW w:w="2057" w:type="dxa"/>
            <w:tcMar>
              <w:top w:w="35" w:type="dxa"/>
              <w:left w:w="45" w:type="dxa"/>
              <w:bottom w:w="35" w:type="dxa"/>
              <w:right w:w="45" w:type="dxa"/>
            </w:tcMar>
            <w:vAlign w:val="center"/>
          </w:tcPr>
          <w:p>
            <w:pPr>
              <w:jc w:val="center"/>
            </w:pPr>
            <w:r>
              <w:rPr>
                <w:sz w:val="14"/>
              </w:rPr>
              <w:t>13</w:t>
            </w:r>
          </w:p>
        </w:tc>
        <w:tc>
          <w:tcPr>
            <w:tcW w:w="2057" w:type="dxa"/>
            <w:tcMar>
              <w:top w:w="35" w:type="dxa"/>
              <w:left w:w="45" w:type="dxa"/>
              <w:bottom w:w="35" w:type="dxa"/>
              <w:right w:w="45" w:type="dxa"/>
            </w:tcMar>
            <w:vAlign w:val="center"/>
          </w:tcPr>
          <w:p>
            <w:pPr>
              <w:jc w:val="center"/>
            </w:pPr>
            <w:r>
              <w:rPr>
                <w:sz w:val="14"/>
              </w:rPr>
              <w:t>69.2 (42.4–87.3)</w:t>
            </w:r>
          </w:p>
        </w:tc>
        <w:tc>
          <w:tcPr>
            <w:tcW w:w="2057" w:type="dxa"/>
            <w:tcMar>
              <w:top w:w="35" w:type="dxa"/>
              <w:left w:w="45" w:type="dxa"/>
              <w:bottom w:w="35" w:type="dxa"/>
              <w:right w:w="45" w:type="dxa"/>
            </w:tcMar>
            <w:vAlign w:val="center"/>
          </w:tcPr>
          <w:p>
            <w:pPr>
              <w:jc w:val="center"/>
            </w:pPr>
            <w:r>
              <w:rPr>
                <w:sz w:val="14"/>
              </w:rPr>
              <w:t>19</w:t>
            </w:r>
          </w:p>
        </w:tc>
        <w:tc>
          <w:tcPr>
            <w:tcW w:w="2057" w:type="dxa"/>
            <w:tcMar>
              <w:top w:w="35" w:type="dxa"/>
              <w:left w:w="45" w:type="dxa"/>
              <w:bottom w:w="35" w:type="dxa"/>
              <w:right w:w="45" w:type="dxa"/>
            </w:tcMar>
            <w:vAlign w:val="center"/>
          </w:tcPr>
          <w:p>
            <w:pPr>
              <w:jc w:val="center"/>
            </w:pPr>
            <w:r>
              <w:rPr>
                <w:sz w:val="14"/>
              </w:rPr>
              <w:t>63.2 (41.0–80.9)</w:t>
            </w:r>
          </w:p>
        </w:tc>
        <w:tc>
          <w:tcPr>
            <w:tcW w:w="2057" w:type="dxa"/>
            <w:tcMar>
              <w:top w:w="35" w:type="dxa"/>
              <w:left w:w="45" w:type="dxa"/>
              <w:bottom w:w="35" w:type="dxa"/>
              <w:right w:w="45" w:type="dxa"/>
            </w:tcMar>
            <w:vAlign w:val="center"/>
          </w:tcPr>
          <w:p>
            <w:pPr>
              <w:jc w:val="center"/>
            </w:pPr>
            <w:r>
              <w:rPr>
                <w:sz w:val="14"/>
              </w:rPr>
              <w:t>15</w:t>
            </w:r>
          </w:p>
        </w:tc>
        <w:tc>
          <w:tcPr>
            <w:tcW w:w="2057" w:type="dxa"/>
            <w:tcMar>
              <w:top w:w="35" w:type="dxa"/>
              <w:left w:w="45" w:type="dxa"/>
              <w:bottom w:w="35" w:type="dxa"/>
              <w:right w:w="45" w:type="dxa"/>
            </w:tcMar>
            <w:vAlign w:val="center"/>
          </w:tcPr>
          <w:p>
            <w:pPr>
              <w:jc w:val="center"/>
            </w:pPr>
            <w:r>
              <w:rPr>
                <w:sz w:val="14"/>
              </w:rPr>
              <w:t>60.0 (35.7–80.2)</w:t>
            </w:r>
          </w:p>
        </w:tc>
      </w:tr>
      <w:tr>
        <w:trPr>
          <w:jc w:val="center"/>
        </w:trPr>
        <w:tc>
          <w:tcPr>
            <w:tcW w:w="2057" w:type="dxa"/>
            <w:tcMar>
              <w:top w:w="35" w:type="dxa"/>
              <w:left w:w="45" w:type="dxa"/>
              <w:bottom w:w="35" w:type="dxa"/>
              <w:right w:w="45" w:type="dxa"/>
            </w:tcMar>
            <w:vAlign w:val="center"/>
          </w:tcPr>
          <w:p>
            <w:r>
              <w:rPr>
                <w:sz w:val="14"/>
              </w:rPr>
              <w:t>CTX Cefotaxime</w:t>
            </w:r>
          </w:p>
        </w:tc>
        <w:tc>
          <w:tcPr>
            <w:tcW w:w="2057" w:type="dxa"/>
            <w:tcMar>
              <w:top w:w="35" w:type="dxa"/>
              <w:left w:w="45" w:type="dxa"/>
              <w:bottom w:w="35" w:type="dxa"/>
              <w:right w:w="45" w:type="dxa"/>
            </w:tcMar>
            <w:vAlign w:val="center"/>
          </w:tcPr>
          <w:p>
            <w:pPr>
              <w:jc w:val="center"/>
            </w:pPr>
            <w:r>
              <w:rPr>
                <w:sz w:val="14"/>
              </w:rPr>
              <w:t>4</w:t>
            </w:r>
          </w:p>
        </w:tc>
        <w:tc>
          <w:tcPr>
            <w:tcW w:w="2057" w:type="dxa"/>
            <w:tcMar>
              <w:top w:w="35" w:type="dxa"/>
              <w:left w:w="45" w:type="dxa"/>
              <w:bottom w:w="35" w:type="dxa"/>
              <w:right w:w="45" w:type="dxa"/>
            </w:tcMar>
            <w:vAlign w:val="center"/>
          </w:tcPr>
          <w:p>
            <w:pPr>
              <w:jc w:val="center"/>
            </w:pPr>
            <w:r>
              <w:rPr>
                <w:sz w:val="14"/>
              </w:rPr>
              <w:t>75.0 (30.1–95.4)</w:t>
            </w:r>
          </w:p>
        </w:tc>
        <w:tc>
          <w:tcPr>
            <w:tcW w:w="2057" w:type="dxa"/>
            <w:tcMar>
              <w:top w:w="35" w:type="dxa"/>
              <w:left w:w="45" w:type="dxa"/>
              <w:bottom w:w="35" w:type="dxa"/>
              <w:right w:w="45" w:type="dxa"/>
            </w:tcMar>
            <w:vAlign w:val="center"/>
          </w:tcPr>
          <w:p>
            <w:pPr>
              <w:jc w:val="center"/>
            </w:pPr>
            <w:r>
              <w:rPr>
                <w:sz w:val="14"/>
              </w:rPr>
              <w:t>10</w:t>
            </w:r>
          </w:p>
        </w:tc>
        <w:tc>
          <w:tcPr>
            <w:tcW w:w="2057" w:type="dxa"/>
            <w:tcMar>
              <w:top w:w="35" w:type="dxa"/>
              <w:left w:w="45" w:type="dxa"/>
              <w:bottom w:w="35" w:type="dxa"/>
              <w:right w:w="45" w:type="dxa"/>
            </w:tcMar>
            <w:vAlign w:val="center"/>
          </w:tcPr>
          <w:p>
            <w:pPr>
              <w:jc w:val="center"/>
            </w:pPr>
            <w:r>
              <w:rPr>
                <w:sz w:val="14"/>
              </w:rPr>
              <w:t>40.0 (16.8–68.7)</w:t>
            </w:r>
          </w:p>
        </w:tc>
        <w:tc>
          <w:tcPr>
            <w:tcW w:w="2057" w:type="dxa"/>
            <w:tcMar>
              <w:top w:w="35" w:type="dxa"/>
              <w:left w:w="45" w:type="dxa"/>
              <w:bottom w:w="35" w:type="dxa"/>
              <w:right w:w="45" w:type="dxa"/>
            </w:tcMar>
            <w:vAlign w:val="center"/>
          </w:tcPr>
          <w:p>
            <w:pPr>
              <w:jc w:val="center"/>
            </w:pPr>
            <w:r>
              <w:rPr>
                <w:sz w:val="14"/>
              </w:rPr>
              <w:t>7</w:t>
            </w:r>
          </w:p>
        </w:tc>
        <w:tc>
          <w:tcPr>
            <w:tcW w:w="2057" w:type="dxa"/>
            <w:tcMar>
              <w:top w:w="35" w:type="dxa"/>
              <w:left w:w="45" w:type="dxa"/>
              <w:bottom w:w="35" w:type="dxa"/>
              <w:right w:w="45" w:type="dxa"/>
            </w:tcMar>
            <w:vAlign w:val="center"/>
          </w:tcPr>
          <w:p>
            <w:pPr>
              <w:jc w:val="center"/>
            </w:pPr>
            <w:r>
              <w:rPr>
                <w:sz w:val="14"/>
              </w:rPr>
              <w:t>0.0 (0.0–35.4)</w:t>
            </w:r>
          </w:p>
        </w:tc>
      </w:tr>
      <w:tr>
        <w:trPr>
          <w:jc w:val="center"/>
        </w:trPr>
        <w:tc>
          <w:tcPr>
            <w:tcW w:w="2057" w:type="dxa"/>
            <w:tcMar>
              <w:top w:w="35" w:type="dxa"/>
              <w:left w:w="45" w:type="dxa"/>
              <w:bottom w:w="35" w:type="dxa"/>
              <w:right w:w="45" w:type="dxa"/>
            </w:tcMar>
            <w:vAlign w:val="center"/>
          </w:tcPr>
          <w:p>
            <w:r>
              <w:rPr>
                <w:sz w:val="14"/>
              </w:rPr>
              <w:t>CRO Ceftriaxone</w:t>
            </w:r>
          </w:p>
        </w:tc>
        <w:tc>
          <w:tcPr>
            <w:tcW w:w="2057" w:type="dxa"/>
            <w:tcMar>
              <w:top w:w="35" w:type="dxa"/>
              <w:left w:w="45" w:type="dxa"/>
              <w:bottom w:w="35" w:type="dxa"/>
              <w:right w:w="45" w:type="dxa"/>
            </w:tcMar>
            <w:vAlign w:val="center"/>
          </w:tcPr>
          <w:p>
            <w:pPr>
              <w:jc w:val="center"/>
            </w:pPr>
            <w:r>
              <w:rPr>
                <w:sz w:val="14"/>
              </w:rPr>
              <w:t>5</w:t>
            </w:r>
          </w:p>
        </w:tc>
        <w:tc>
          <w:tcPr>
            <w:tcW w:w="2057" w:type="dxa"/>
            <w:tcMar>
              <w:top w:w="35" w:type="dxa"/>
              <w:left w:w="45" w:type="dxa"/>
              <w:bottom w:w="35" w:type="dxa"/>
              <w:right w:w="45" w:type="dxa"/>
            </w:tcMar>
            <w:vAlign w:val="center"/>
          </w:tcPr>
          <w:p>
            <w:pPr>
              <w:jc w:val="center"/>
            </w:pPr>
            <w:r>
              <w:rPr>
                <w:sz w:val="14"/>
              </w:rPr>
              <w:t>100.0 (56.6–100.0)</w:t>
            </w:r>
          </w:p>
        </w:tc>
        <w:tc>
          <w:tcPr>
            <w:tcW w:w="2057" w:type="dxa"/>
            <w:tcMar>
              <w:top w:w="35" w:type="dxa"/>
              <w:left w:w="45" w:type="dxa"/>
              <w:bottom w:w="35" w:type="dxa"/>
              <w:right w:w="45" w:type="dxa"/>
            </w:tcMar>
            <w:vAlign w:val="center"/>
          </w:tcPr>
          <w:p>
            <w:pPr>
              <w:jc w:val="center"/>
            </w:pPr>
            <w:r>
              <w:rPr>
                <w:sz w:val="14"/>
              </w:rPr>
              <w:t>21</w:t>
            </w:r>
          </w:p>
        </w:tc>
        <w:tc>
          <w:tcPr>
            <w:tcW w:w="2057" w:type="dxa"/>
            <w:tcMar>
              <w:top w:w="35" w:type="dxa"/>
              <w:left w:w="45" w:type="dxa"/>
              <w:bottom w:w="35" w:type="dxa"/>
              <w:right w:w="45" w:type="dxa"/>
            </w:tcMar>
            <w:vAlign w:val="center"/>
          </w:tcPr>
          <w:p>
            <w:pPr>
              <w:jc w:val="center"/>
            </w:pPr>
            <w:r>
              <w:rPr>
                <w:sz w:val="14"/>
              </w:rPr>
              <w:t>66.7 (45.4–82.8)</w:t>
            </w:r>
          </w:p>
        </w:tc>
        <w:tc>
          <w:tcPr>
            <w:tcW w:w="2057" w:type="dxa"/>
            <w:tcMar>
              <w:top w:w="35" w:type="dxa"/>
              <w:left w:w="45" w:type="dxa"/>
              <w:bottom w:w="35" w:type="dxa"/>
              <w:right w:w="45" w:type="dxa"/>
            </w:tcMar>
            <w:vAlign w:val="center"/>
          </w:tcPr>
          <w:p>
            <w:pPr>
              <w:jc w:val="center"/>
            </w:pPr>
            <w:r>
              <w:rPr>
                <w:sz w:val="14"/>
              </w:rPr>
              <w:t>10</w:t>
            </w:r>
          </w:p>
        </w:tc>
        <w:tc>
          <w:tcPr>
            <w:tcW w:w="2057" w:type="dxa"/>
            <w:tcMar>
              <w:top w:w="35" w:type="dxa"/>
              <w:left w:w="45" w:type="dxa"/>
              <w:bottom w:w="35" w:type="dxa"/>
              <w:right w:w="45" w:type="dxa"/>
            </w:tcMar>
            <w:vAlign w:val="center"/>
          </w:tcPr>
          <w:p>
            <w:pPr>
              <w:jc w:val="center"/>
            </w:pPr>
            <w:r>
              <w:rPr>
                <w:sz w:val="14"/>
              </w:rPr>
              <w:t>60.0 (31.3–83.2)</w:t>
            </w:r>
          </w:p>
        </w:tc>
      </w:tr>
      <w:tr>
        <w:trPr>
          <w:jc w:val="center"/>
        </w:trPr>
        <w:tc>
          <w:tcPr>
            <w:tcW w:w="2057" w:type="dxa"/>
            <w:tcMar>
              <w:top w:w="35" w:type="dxa"/>
              <w:left w:w="45" w:type="dxa"/>
              <w:bottom w:w="35" w:type="dxa"/>
              <w:right w:w="45" w:type="dxa"/>
            </w:tcMar>
            <w:vAlign w:val="center"/>
          </w:tcPr>
          <w:p>
            <w:r>
              <w:rPr>
                <w:sz w:val="14"/>
              </w:rPr>
              <w:t>FEP Cefepime</w:t>
            </w:r>
          </w:p>
        </w:tc>
        <w:tc>
          <w:tcPr>
            <w:tcW w:w="2057" w:type="dxa"/>
            <w:tcMar>
              <w:top w:w="35" w:type="dxa"/>
              <w:left w:w="45" w:type="dxa"/>
              <w:bottom w:w="35" w:type="dxa"/>
              <w:right w:w="45" w:type="dxa"/>
            </w:tcMar>
            <w:vAlign w:val="center"/>
          </w:tcPr>
          <w:p>
            <w:pPr>
              <w:jc w:val="center"/>
            </w:pPr>
            <w:r>
              <w:rPr>
                <w:sz w:val="14"/>
              </w:rPr>
              <w:t>13</w:t>
            </w:r>
          </w:p>
        </w:tc>
        <w:tc>
          <w:tcPr>
            <w:tcW w:w="2057" w:type="dxa"/>
            <w:tcMar>
              <w:top w:w="35" w:type="dxa"/>
              <w:left w:w="45" w:type="dxa"/>
              <w:bottom w:w="35" w:type="dxa"/>
              <w:right w:w="45" w:type="dxa"/>
            </w:tcMar>
            <w:vAlign w:val="center"/>
          </w:tcPr>
          <w:p>
            <w:pPr>
              <w:jc w:val="center"/>
            </w:pPr>
            <w:r>
              <w:rPr>
                <w:sz w:val="14"/>
              </w:rPr>
              <w:t>53.8 (29.1–76.8)</w:t>
            </w:r>
          </w:p>
        </w:tc>
        <w:tc>
          <w:tcPr>
            <w:tcW w:w="2057" w:type="dxa"/>
            <w:tcMar>
              <w:top w:w="35" w:type="dxa"/>
              <w:left w:w="45" w:type="dxa"/>
              <w:bottom w:w="35" w:type="dxa"/>
              <w:right w:w="45" w:type="dxa"/>
            </w:tcMar>
            <w:vAlign w:val="center"/>
          </w:tcPr>
          <w:p>
            <w:pPr>
              <w:jc w:val="center"/>
            </w:pPr>
            <w:r>
              <w:rPr>
                <w:sz w:val="14"/>
              </w:rPr>
              <w:t>7</w:t>
            </w:r>
          </w:p>
        </w:tc>
        <w:tc>
          <w:tcPr>
            <w:tcW w:w="2057" w:type="dxa"/>
            <w:tcMar>
              <w:top w:w="35" w:type="dxa"/>
              <w:left w:w="45" w:type="dxa"/>
              <w:bottom w:w="35" w:type="dxa"/>
              <w:right w:w="45" w:type="dxa"/>
            </w:tcMar>
            <w:vAlign w:val="center"/>
          </w:tcPr>
          <w:p>
            <w:pPr>
              <w:jc w:val="center"/>
            </w:pPr>
            <w:r>
              <w:rPr>
                <w:sz w:val="14"/>
              </w:rPr>
              <w:t>14.3 (2.6–51.3)</w:t>
            </w:r>
          </w:p>
        </w:tc>
        <w:tc>
          <w:tcPr>
            <w:tcW w:w="2057" w:type="dxa"/>
            <w:tcMar>
              <w:top w:w="35" w:type="dxa"/>
              <w:left w:w="45" w:type="dxa"/>
              <w:bottom w:w="35" w:type="dxa"/>
              <w:right w:w="45" w:type="dxa"/>
            </w:tcMar>
            <w:vAlign w:val="center"/>
          </w:tcPr>
          <w:p>
            <w:pPr>
              <w:jc w:val="center"/>
            </w:pPr>
            <w:r>
              <w:rPr>
                <w:sz w:val="14"/>
              </w:rPr>
              <w:t>3</w:t>
            </w:r>
          </w:p>
        </w:tc>
        <w:tc>
          <w:tcPr>
            <w:tcW w:w="2057" w:type="dxa"/>
            <w:tcMar>
              <w:top w:w="35" w:type="dxa"/>
              <w:left w:w="45" w:type="dxa"/>
              <w:bottom w:w="35" w:type="dxa"/>
              <w:right w:w="45" w:type="dxa"/>
            </w:tcMar>
            <w:vAlign w:val="center"/>
          </w:tcPr>
          <w:p>
            <w:pPr>
              <w:jc w:val="center"/>
            </w:pPr>
            <w:r>
              <w:rPr>
                <w:sz w:val="14"/>
              </w:rPr>
              <w:t>66.7 (20.8–93.9)</w:t>
            </w:r>
          </w:p>
        </w:tc>
      </w:tr>
      <w:tr>
        <w:trPr>
          <w:jc w:val="center"/>
        </w:trPr>
        <w:tc>
          <w:tcPr>
            <w:tcW w:w="2057" w:type="dxa"/>
            <w:tcMar>
              <w:top w:w="35" w:type="dxa"/>
              <w:left w:w="45" w:type="dxa"/>
              <w:bottom w:w="35" w:type="dxa"/>
              <w:right w:w="45" w:type="dxa"/>
            </w:tcMar>
            <w:vAlign w:val="center"/>
          </w:tcPr>
          <w:p>
            <w:r>
              <w:rPr>
                <w:sz w:val="14"/>
              </w:rPr>
              <w:t>ERY Erythromycin</w:t>
            </w:r>
          </w:p>
        </w:tc>
        <w:tc>
          <w:tcPr>
            <w:tcW w:w="2057" w:type="dxa"/>
            <w:tcMar>
              <w:top w:w="35" w:type="dxa"/>
              <w:left w:w="45" w:type="dxa"/>
              <w:bottom w:w="35" w:type="dxa"/>
              <w:right w:w="45" w:type="dxa"/>
            </w:tcMar>
            <w:vAlign w:val="center"/>
          </w:tcPr>
          <w:p>
            <w:pPr>
              <w:jc w:val="center"/>
            </w:pPr>
            <w:r>
              <w:rPr>
                <w:sz w:val="14"/>
              </w:rPr>
              <w:t>17</w:t>
            </w:r>
          </w:p>
        </w:tc>
        <w:tc>
          <w:tcPr>
            <w:tcW w:w="2057" w:type="dxa"/>
            <w:tcMar>
              <w:top w:w="35" w:type="dxa"/>
              <w:left w:w="45" w:type="dxa"/>
              <w:bottom w:w="35" w:type="dxa"/>
              <w:right w:w="45" w:type="dxa"/>
            </w:tcMar>
            <w:vAlign w:val="center"/>
          </w:tcPr>
          <w:p>
            <w:pPr>
              <w:jc w:val="center"/>
            </w:pPr>
            <w:r>
              <w:rPr>
                <w:sz w:val="14"/>
              </w:rPr>
              <w:t>17.6 (6.2–41.0)</w:t>
            </w:r>
          </w:p>
        </w:tc>
        <w:tc>
          <w:tcPr>
            <w:tcW w:w="2057" w:type="dxa"/>
            <w:tcMar>
              <w:top w:w="35" w:type="dxa"/>
              <w:left w:w="45" w:type="dxa"/>
              <w:bottom w:w="35" w:type="dxa"/>
              <w:right w:w="45" w:type="dxa"/>
            </w:tcMar>
            <w:vAlign w:val="center"/>
          </w:tcPr>
          <w:p>
            <w:pPr>
              <w:jc w:val="center"/>
            </w:pPr>
            <w:r>
              <w:rPr>
                <w:sz w:val="14"/>
              </w:rPr>
              <w:t>22</w:t>
            </w:r>
          </w:p>
        </w:tc>
        <w:tc>
          <w:tcPr>
            <w:tcW w:w="2057" w:type="dxa"/>
            <w:tcMar>
              <w:top w:w="35" w:type="dxa"/>
              <w:left w:w="45" w:type="dxa"/>
              <w:bottom w:w="35" w:type="dxa"/>
              <w:right w:w="45" w:type="dxa"/>
            </w:tcMar>
            <w:vAlign w:val="center"/>
          </w:tcPr>
          <w:p>
            <w:pPr>
              <w:jc w:val="center"/>
            </w:pPr>
            <w:r>
              <w:rPr>
                <w:sz w:val="14"/>
              </w:rPr>
              <w:t>22.7 (10.1–43.4)</w:t>
            </w:r>
          </w:p>
        </w:tc>
        <w:tc>
          <w:tcPr>
            <w:tcW w:w="2057" w:type="dxa"/>
            <w:tcMar>
              <w:top w:w="35" w:type="dxa"/>
              <w:left w:w="45" w:type="dxa"/>
              <w:bottom w:w="35" w:type="dxa"/>
              <w:right w:w="45" w:type="dxa"/>
            </w:tcMar>
            <w:vAlign w:val="center"/>
          </w:tcPr>
          <w:p>
            <w:pPr>
              <w:jc w:val="center"/>
            </w:pPr>
            <w:r>
              <w:rPr>
                <w:sz w:val="14"/>
              </w:rPr>
              <w:t>16</w:t>
            </w:r>
          </w:p>
        </w:tc>
        <w:tc>
          <w:tcPr>
            <w:tcW w:w="2057" w:type="dxa"/>
            <w:tcMar>
              <w:top w:w="35" w:type="dxa"/>
              <w:left w:w="45" w:type="dxa"/>
              <w:bottom w:w="35" w:type="dxa"/>
              <w:right w:w="45" w:type="dxa"/>
            </w:tcMar>
            <w:vAlign w:val="center"/>
          </w:tcPr>
          <w:p>
            <w:pPr>
              <w:jc w:val="center"/>
            </w:pPr>
            <w:r>
              <w:rPr>
                <w:sz w:val="14"/>
              </w:rPr>
              <w:t>37.5 (18.5–61.4)</w:t>
            </w:r>
          </w:p>
        </w:tc>
      </w:tr>
      <w:tr>
        <w:trPr>
          <w:jc w:val="center"/>
        </w:trPr>
        <w:tc>
          <w:tcPr>
            <w:tcW w:w="2057" w:type="dxa"/>
            <w:tcMar>
              <w:top w:w="35" w:type="dxa"/>
              <w:left w:w="45" w:type="dxa"/>
              <w:bottom w:w="35" w:type="dxa"/>
              <w:right w:w="45" w:type="dxa"/>
            </w:tcMar>
            <w:vAlign w:val="center"/>
          </w:tcPr>
          <w:p>
            <w:r>
              <w:rPr>
                <w:sz w:val="14"/>
              </w:rPr>
              <w:t>CLI Clindamycin</w:t>
            </w:r>
          </w:p>
        </w:tc>
        <w:tc>
          <w:tcPr>
            <w:tcW w:w="2057" w:type="dxa"/>
            <w:tcMar>
              <w:top w:w="35" w:type="dxa"/>
              <w:left w:w="45" w:type="dxa"/>
              <w:bottom w:w="35" w:type="dxa"/>
              <w:right w:w="45" w:type="dxa"/>
            </w:tcMar>
            <w:vAlign w:val="center"/>
          </w:tcPr>
          <w:p>
            <w:pPr>
              <w:jc w:val="center"/>
            </w:pPr>
            <w:r>
              <w:rPr>
                <w:sz w:val="14"/>
              </w:rPr>
              <w:t>17</w:t>
            </w:r>
          </w:p>
        </w:tc>
        <w:tc>
          <w:tcPr>
            <w:tcW w:w="2057" w:type="dxa"/>
            <w:tcMar>
              <w:top w:w="35" w:type="dxa"/>
              <w:left w:w="45" w:type="dxa"/>
              <w:bottom w:w="35" w:type="dxa"/>
              <w:right w:w="45" w:type="dxa"/>
            </w:tcMar>
            <w:vAlign w:val="center"/>
          </w:tcPr>
          <w:p>
            <w:pPr>
              <w:jc w:val="center"/>
            </w:pPr>
            <w:r>
              <w:rPr>
                <w:sz w:val="14"/>
              </w:rPr>
              <w:t>64.7 (41.3–82.7)</w:t>
            </w:r>
          </w:p>
        </w:tc>
        <w:tc>
          <w:tcPr>
            <w:tcW w:w="2057" w:type="dxa"/>
            <w:tcMar>
              <w:top w:w="35" w:type="dxa"/>
              <w:left w:w="45" w:type="dxa"/>
              <w:bottom w:w="35" w:type="dxa"/>
              <w:right w:w="45" w:type="dxa"/>
            </w:tcMar>
            <w:vAlign w:val="center"/>
          </w:tcPr>
          <w:p>
            <w:pPr>
              <w:jc w:val="center"/>
            </w:pPr>
            <w:r>
              <w:rPr>
                <w:sz w:val="14"/>
              </w:rPr>
              <w:t>23</w:t>
            </w:r>
          </w:p>
        </w:tc>
        <w:tc>
          <w:tcPr>
            <w:tcW w:w="2057" w:type="dxa"/>
            <w:tcMar>
              <w:top w:w="35" w:type="dxa"/>
              <w:left w:w="45" w:type="dxa"/>
              <w:bottom w:w="35" w:type="dxa"/>
              <w:right w:w="45" w:type="dxa"/>
            </w:tcMar>
            <w:vAlign w:val="center"/>
          </w:tcPr>
          <w:p>
            <w:pPr>
              <w:jc w:val="center"/>
            </w:pPr>
            <w:r>
              <w:rPr>
                <w:sz w:val="14"/>
              </w:rPr>
              <w:t>43.5 (25.6–63.2)</w:t>
            </w:r>
          </w:p>
        </w:tc>
        <w:tc>
          <w:tcPr>
            <w:tcW w:w="2057" w:type="dxa"/>
            <w:tcMar>
              <w:top w:w="35" w:type="dxa"/>
              <w:left w:w="45" w:type="dxa"/>
              <w:bottom w:w="35" w:type="dxa"/>
              <w:right w:w="45" w:type="dxa"/>
            </w:tcMar>
            <w:vAlign w:val="center"/>
          </w:tcPr>
          <w:p>
            <w:pPr>
              <w:jc w:val="center"/>
            </w:pPr>
            <w:r>
              <w:rPr>
                <w:sz w:val="14"/>
              </w:rPr>
              <w:t>18</w:t>
            </w:r>
          </w:p>
        </w:tc>
        <w:tc>
          <w:tcPr>
            <w:tcW w:w="2057" w:type="dxa"/>
            <w:tcMar>
              <w:top w:w="35" w:type="dxa"/>
              <w:left w:w="45" w:type="dxa"/>
              <w:bottom w:w="35" w:type="dxa"/>
              <w:right w:w="45" w:type="dxa"/>
            </w:tcMar>
            <w:vAlign w:val="center"/>
          </w:tcPr>
          <w:p>
            <w:pPr>
              <w:jc w:val="center"/>
            </w:pPr>
            <w:r>
              <w:rPr>
                <w:sz w:val="14"/>
              </w:rPr>
              <w:t>55.6 (33.7–75.4)</w:t>
            </w:r>
          </w:p>
        </w:tc>
      </w:tr>
      <w:tr>
        <w:trPr>
          <w:jc w:val="center"/>
        </w:trPr>
        <w:tc>
          <w:tcPr>
            <w:tcW w:w="2057" w:type="dxa"/>
            <w:tcMar>
              <w:top w:w="35" w:type="dxa"/>
              <w:left w:w="45" w:type="dxa"/>
              <w:bottom w:w="35" w:type="dxa"/>
              <w:right w:w="45" w:type="dxa"/>
            </w:tcMar>
            <w:vAlign w:val="center"/>
          </w:tcPr>
          <w:p>
            <w:r>
              <w:rPr>
                <w:sz w:val="14"/>
              </w:rPr>
              <w:t>CHL Chloramphenicol</w:t>
            </w:r>
          </w:p>
        </w:tc>
        <w:tc>
          <w:tcPr>
            <w:tcW w:w="2057" w:type="dxa"/>
            <w:tcMar>
              <w:top w:w="35" w:type="dxa"/>
              <w:left w:w="45" w:type="dxa"/>
              <w:bottom w:w="35" w:type="dxa"/>
              <w:right w:w="45" w:type="dxa"/>
            </w:tcMar>
            <w:vAlign w:val="center"/>
          </w:tcPr>
          <w:p>
            <w:pPr>
              <w:jc w:val="center"/>
            </w:pPr>
            <w:r>
              <w:rPr>
                <w:sz w:val="14"/>
              </w:rPr>
              <w:t>4</w:t>
            </w:r>
          </w:p>
        </w:tc>
        <w:tc>
          <w:tcPr>
            <w:tcW w:w="2057" w:type="dxa"/>
            <w:tcMar>
              <w:top w:w="35" w:type="dxa"/>
              <w:left w:w="45" w:type="dxa"/>
              <w:bottom w:w="35" w:type="dxa"/>
              <w:right w:w="45" w:type="dxa"/>
            </w:tcMar>
            <w:vAlign w:val="center"/>
          </w:tcPr>
          <w:p>
            <w:pPr>
              <w:jc w:val="center"/>
            </w:pPr>
            <w:r>
              <w:rPr>
                <w:sz w:val="14"/>
              </w:rPr>
              <w:t>100.0 (51.0–100.0)</w:t>
            </w:r>
          </w:p>
        </w:tc>
        <w:tc>
          <w:tcPr>
            <w:tcW w:w="2057" w:type="dxa"/>
            <w:tcMar>
              <w:top w:w="35" w:type="dxa"/>
              <w:left w:w="45" w:type="dxa"/>
              <w:bottom w:w="35" w:type="dxa"/>
              <w:right w:w="45" w:type="dxa"/>
            </w:tcMar>
            <w:vAlign w:val="center"/>
          </w:tcPr>
          <w:p>
            <w:pPr>
              <w:jc w:val="center"/>
            </w:pPr>
            <w:r>
              <w:rPr>
                <w:sz w:val="14"/>
              </w:rPr>
              <w:t>11</w:t>
            </w:r>
          </w:p>
        </w:tc>
        <w:tc>
          <w:tcPr>
            <w:tcW w:w="2057" w:type="dxa"/>
            <w:tcMar>
              <w:top w:w="35" w:type="dxa"/>
              <w:left w:w="45" w:type="dxa"/>
              <w:bottom w:w="35" w:type="dxa"/>
              <w:right w:w="45" w:type="dxa"/>
            </w:tcMar>
            <w:vAlign w:val="center"/>
          </w:tcPr>
          <w:p>
            <w:pPr>
              <w:jc w:val="center"/>
            </w:pPr>
            <w:r>
              <w:rPr>
                <w:sz w:val="14"/>
              </w:rPr>
              <w:t>54.5 (28.0–78.7)</w:t>
            </w:r>
          </w:p>
        </w:tc>
        <w:tc>
          <w:tcPr>
            <w:tcW w:w="2057" w:type="dxa"/>
            <w:tcMar>
              <w:top w:w="35" w:type="dxa"/>
              <w:left w:w="45" w:type="dxa"/>
              <w:bottom w:w="35" w:type="dxa"/>
              <w:right w:w="45" w:type="dxa"/>
            </w:tcMar>
            <w:vAlign w:val="center"/>
          </w:tcPr>
          <w:p>
            <w:pPr>
              <w:jc w:val="center"/>
            </w:pPr>
            <w:r>
              <w:rPr>
                <w:sz w:val="14"/>
              </w:rPr>
              <w:t>10</w:t>
            </w:r>
          </w:p>
        </w:tc>
        <w:tc>
          <w:tcPr>
            <w:tcW w:w="2057" w:type="dxa"/>
            <w:tcMar>
              <w:top w:w="35" w:type="dxa"/>
              <w:left w:w="45" w:type="dxa"/>
              <w:bottom w:w="35" w:type="dxa"/>
              <w:right w:w="45" w:type="dxa"/>
            </w:tcMar>
            <w:vAlign w:val="center"/>
          </w:tcPr>
          <w:p>
            <w:pPr>
              <w:jc w:val="center"/>
            </w:pPr>
            <w:r>
              <w:rPr>
                <w:sz w:val="14"/>
              </w:rPr>
              <w:t>70.0 (39.7–89.2)</w:t>
            </w:r>
          </w:p>
        </w:tc>
      </w:tr>
      <w:tr>
        <w:trPr>
          <w:jc w:val="center"/>
        </w:trPr>
        <w:tc>
          <w:tcPr>
            <w:tcW w:w="2057" w:type="dxa"/>
            <w:tcMar>
              <w:top w:w="35" w:type="dxa"/>
              <w:left w:w="45" w:type="dxa"/>
              <w:bottom w:w="35" w:type="dxa"/>
              <w:right w:w="45" w:type="dxa"/>
            </w:tcMar>
            <w:vAlign w:val="center"/>
          </w:tcPr>
          <w:p>
            <w:r>
              <w:rPr>
                <w:sz w:val="14"/>
              </w:rPr>
              <w:t>TET Tetracycline</w:t>
            </w:r>
          </w:p>
        </w:tc>
        <w:tc>
          <w:tcPr>
            <w:tcW w:w="2057" w:type="dxa"/>
            <w:tcMar>
              <w:top w:w="35" w:type="dxa"/>
              <w:left w:w="45" w:type="dxa"/>
              <w:bottom w:w="35" w:type="dxa"/>
              <w:right w:w="45" w:type="dxa"/>
            </w:tcMar>
            <w:vAlign w:val="center"/>
          </w:tcPr>
          <w:p>
            <w:pPr>
              <w:jc w:val="center"/>
            </w:pPr>
            <w:r>
              <w:rPr>
                <w:sz w:val="14"/>
              </w:rPr>
              <w:t>11</w:t>
            </w:r>
          </w:p>
        </w:tc>
        <w:tc>
          <w:tcPr>
            <w:tcW w:w="2057" w:type="dxa"/>
            <w:tcMar>
              <w:top w:w="35" w:type="dxa"/>
              <w:left w:w="45" w:type="dxa"/>
              <w:bottom w:w="35" w:type="dxa"/>
              <w:right w:w="45" w:type="dxa"/>
            </w:tcMar>
            <w:vAlign w:val="center"/>
          </w:tcPr>
          <w:p>
            <w:pPr>
              <w:jc w:val="center"/>
            </w:pPr>
            <w:r>
              <w:rPr>
                <w:sz w:val="14"/>
              </w:rPr>
              <w:t>0.0 (0.0–25.9)</w:t>
            </w:r>
          </w:p>
        </w:tc>
        <w:tc>
          <w:tcPr>
            <w:tcW w:w="2057" w:type="dxa"/>
            <w:tcMar>
              <w:top w:w="35" w:type="dxa"/>
              <w:left w:w="45" w:type="dxa"/>
              <w:bottom w:w="35" w:type="dxa"/>
              <w:right w:w="45" w:type="dxa"/>
            </w:tcMar>
            <w:vAlign w:val="center"/>
          </w:tcPr>
          <w:p>
            <w:pPr>
              <w:jc w:val="center"/>
            </w:pPr>
            <w:r>
              <w:rPr>
                <w:sz w:val="14"/>
              </w:rPr>
              <w:t>13</w:t>
            </w:r>
          </w:p>
        </w:tc>
        <w:tc>
          <w:tcPr>
            <w:tcW w:w="2057" w:type="dxa"/>
            <w:tcMar>
              <w:top w:w="35" w:type="dxa"/>
              <w:left w:w="45" w:type="dxa"/>
              <w:bottom w:w="35" w:type="dxa"/>
              <w:right w:w="45" w:type="dxa"/>
            </w:tcMar>
            <w:vAlign w:val="center"/>
          </w:tcPr>
          <w:p>
            <w:pPr>
              <w:jc w:val="center"/>
            </w:pPr>
            <w:r>
              <w:rPr>
                <w:sz w:val="14"/>
              </w:rPr>
              <w:t>0.0 (0.0–22.8)</w:t>
            </w:r>
          </w:p>
        </w:tc>
        <w:tc>
          <w:tcPr>
            <w:tcW w:w="2057" w:type="dxa"/>
            <w:tcMar>
              <w:top w:w="35" w:type="dxa"/>
              <w:left w:w="45" w:type="dxa"/>
              <w:bottom w:w="35" w:type="dxa"/>
              <w:right w:w="45" w:type="dxa"/>
            </w:tcMar>
            <w:vAlign w:val="center"/>
          </w:tcPr>
          <w:p>
            <w:pPr>
              <w:jc w:val="center"/>
            </w:pPr>
            <w:r>
              <w:rPr>
                <w:sz w:val="14"/>
              </w:rPr>
              <w:t>8</w:t>
            </w:r>
          </w:p>
        </w:tc>
        <w:tc>
          <w:tcPr>
            <w:tcW w:w="2057" w:type="dxa"/>
            <w:tcMar>
              <w:top w:w="35" w:type="dxa"/>
              <w:left w:w="45" w:type="dxa"/>
              <w:bottom w:w="35" w:type="dxa"/>
              <w:right w:w="45" w:type="dxa"/>
            </w:tcMar>
            <w:vAlign w:val="center"/>
          </w:tcPr>
          <w:p>
            <w:pPr>
              <w:jc w:val="center"/>
            </w:pPr>
            <w:r>
              <w:rPr>
                <w:sz w:val="14"/>
              </w:rPr>
              <w:t>0.0 (0.0–32.4)</w:t>
            </w:r>
          </w:p>
        </w:tc>
      </w:tr>
      <w:tr>
        <w:trPr>
          <w:jc w:val="center"/>
        </w:trPr>
        <w:tc>
          <w:tcPr>
            <w:tcW w:w="2057" w:type="dxa"/>
            <w:tcMar>
              <w:top w:w="35" w:type="dxa"/>
              <w:left w:w="45" w:type="dxa"/>
              <w:bottom w:w="35" w:type="dxa"/>
              <w:right w:w="45" w:type="dxa"/>
            </w:tcMar>
            <w:vAlign w:val="center"/>
          </w:tcPr>
          <w:p>
            <w:r>
              <w:t>VAN Vancomycin</w:t>
            </w:r>
          </w:p>
        </w:tc>
        <w:tc>
          <w:tcPr>
            <w:tcW w:w="2057" w:type="dxa"/>
            <w:tcMar>
              <w:top w:w="35" w:type="dxa"/>
              <w:left w:w="45" w:type="dxa"/>
              <w:bottom w:w="35" w:type="dxa"/>
              <w:right w:w="45" w:type="dxa"/>
            </w:tcMar>
            <w:vAlign w:val="center"/>
          </w:tcPr>
          <w:p>
            <w:pPr>
              <w:jc w:val="center"/>
            </w:pPr>
            <w:r>
              <w:rPr>
                <w:sz w:val="14"/>
              </w:rPr>
              <w:t>17</w:t>
            </w:r>
          </w:p>
        </w:tc>
        <w:tc>
          <w:tcPr>
            <w:tcW w:w="2057" w:type="dxa"/>
            <w:tcMar>
              <w:top w:w="35" w:type="dxa"/>
              <w:left w:w="45" w:type="dxa"/>
              <w:bottom w:w="35" w:type="dxa"/>
              <w:right w:w="45" w:type="dxa"/>
            </w:tcMar>
            <w:vAlign w:val="center"/>
          </w:tcPr>
          <w:p>
            <w:pPr>
              <w:jc w:val="center"/>
            </w:pPr>
            <w:r>
              <w:rPr>
                <w:sz w:val="14"/>
              </w:rPr>
              <w:t>100.0 (81.6–100.0)</w:t>
            </w:r>
          </w:p>
        </w:tc>
        <w:tc>
          <w:tcPr>
            <w:tcW w:w="2057" w:type="dxa"/>
            <w:tcMar>
              <w:top w:w="35" w:type="dxa"/>
              <w:left w:w="45" w:type="dxa"/>
              <w:bottom w:w="35" w:type="dxa"/>
              <w:right w:w="45" w:type="dxa"/>
            </w:tcMar>
            <w:vAlign w:val="center"/>
          </w:tcPr>
          <w:p>
            <w:pPr>
              <w:jc w:val="center"/>
            </w:pPr>
            <w:r>
              <w:rPr>
                <w:sz w:val="14"/>
              </w:rPr>
              <w:t>23</w:t>
            </w:r>
          </w:p>
        </w:tc>
        <w:tc>
          <w:tcPr>
            <w:tcW w:w="2057" w:type="dxa"/>
            <w:tcMar>
              <w:top w:w="35" w:type="dxa"/>
              <w:left w:w="45" w:type="dxa"/>
              <w:bottom w:w="35" w:type="dxa"/>
              <w:right w:w="45" w:type="dxa"/>
            </w:tcMar>
            <w:vAlign w:val="center"/>
          </w:tcPr>
          <w:p>
            <w:pPr>
              <w:jc w:val="center"/>
            </w:pPr>
            <w:r>
              <w:rPr>
                <w:sz w:val="14"/>
              </w:rPr>
              <w:t>100.0 (85.7–100.0)</w:t>
            </w:r>
          </w:p>
        </w:tc>
        <w:tc>
          <w:tcPr>
            <w:tcW w:w="2057" w:type="dxa"/>
            <w:tcMar>
              <w:top w:w="35" w:type="dxa"/>
              <w:left w:w="45" w:type="dxa"/>
              <w:bottom w:w="35" w:type="dxa"/>
              <w:right w:w="45" w:type="dxa"/>
            </w:tcMar>
            <w:vAlign w:val="center"/>
          </w:tcPr>
          <w:p>
            <w:pPr>
              <w:jc w:val="center"/>
            </w:pPr>
            <w:r>
              <w:rPr>
                <w:sz w:val="14"/>
              </w:rPr>
              <w:t>18</w:t>
            </w:r>
          </w:p>
        </w:tc>
        <w:tc>
          <w:tcPr>
            <w:tcW w:w="2057" w:type="dxa"/>
            <w:tcMar>
              <w:top w:w="35" w:type="dxa"/>
              <w:left w:w="45" w:type="dxa"/>
              <w:bottom w:w="35" w:type="dxa"/>
              <w:right w:w="45" w:type="dxa"/>
            </w:tcMar>
            <w:vAlign w:val="center"/>
          </w:tcPr>
          <w:p>
            <w:pPr>
              <w:jc w:val="center"/>
            </w:pPr>
            <w:r>
              <w:rPr>
                <w:sz w:val="14"/>
              </w:rPr>
              <w:t>100.0 (82.4–100.0)</w:t>
            </w:r>
          </w:p>
        </w:tc>
      </w:tr>
      <w:tr>
        <w:trPr>
          <w:jc w:val="center"/>
        </w:trPr>
        <w:tc>
          <w:tcPr>
            <w:tcW w:w="14399" w:type="dxa"/>
            <w:gridSpan w:val="7"/>
            <w:shd w:val="clear" w:color="auto" w:fill="E7E6E6"/>
            <w:tcMar>
              <w:top w:w="35" w:type="dxa"/>
              <w:left w:w="45" w:type="dxa"/>
              <w:bottom w:w="35" w:type="dxa"/>
              <w:right w:w="45" w:type="dxa"/>
            </w:tcMar>
            <w:vAlign w:val="center"/>
          </w:tcPr>
          <w:p>
            <w:r>
              <w:t>B. Surrogate or screening results — not independently interpretable as therapeutic S/I/R categories</w:t>
            </w:r>
          </w:p>
        </w:tc>
      </w:tr>
      <w:tr>
        <w:trPr>
          <w:jc w:val="center"/>
        </w:trPr>
        <w:tc>
          <w:tcPr>
            <w:tcW w:w="2057" w:type="dxa"/>
            <w:tcMar>
              <w:top w:w="35" w:type="dxa"/>
              <w:left w:w="45" w:type="dxa"/>
              <w:bottom w:w="35" w:type="dxa"/>
              <w:right w:w="45" w:type="dxa"/>
            </w:tcMar>
            <w:vAlign w:val="center"/>
          </w:tcPr>
          <w:p>
            <w:r>
              <w:t>AMP Ampicillin</w:t>
            </w:r>
          </w:p>
        </w:tc>
        <w:tc>
          <w:tcPr>
            <w:tcW w:w="2057" w:type="dxa"/>
            <w:tcMar>
              <w:top w:w="35" w:type="dxa"/>
              <w:left w:w="45" w:type="dxa"/>
              <w:bottom w:w="35" w:type="dxa"/>
              <w:right w:w="45" w:type="dxa"/>
            </w:tcMar>
            <w:vAlign w:val="center"/>
          </w:tcPr>
          <w:p>
            <w:pPr>
              <w:jc w:val="center"/>
            </w:pPr>
            <w:r>
              <w:t>14</w:t>
            </w:r>
          </w:p>
        </w:tc>
        <w:tc>
          <w:tcPr>
            <w:tcW w:w="2057" w:type="dxa"/>
            <w:tcMar>
              <w:top w:w="35" w:type="dxa"/>
              <w:left w:w="45" w:type="dxa"/>
              <w:bottom w:w="35" w:type="dxa"/>
              <w:right w:w="45" w:type="dxa"/>
            </w:tcMar>
            <w:vAlign w:val="center"/>
          </w:tcPr>
          <w:p>
            <w:pPr>
              <w:jc w:val="center"/>
            </w:pPr>
            <w:r>
              <w:t>28.6 (11.7–54.6)</w:t>
            </w:r>
          </w:p>
        </w:tc>
        <w:tc>
          <w:tcPr>
            <w:tcW w:w="2057" w:type="dxa"/>
            <w:tcMar>
              <w:top w:w="35" w:type="dxa"/>
              <w:left w:w="45" w:type="dxa"/>
              <w:bottom w:w="35" w:type="dxa"/>
              <w:right w:w="45" w:type="dxa"/>
            </w:tcMar>
            <w:vAlign w:val="center"/>
          </w:tcPr>
          <w:p>
            <w:pPr>
              <w:jc w:val="center"/>
            </w:pPr>
            <w:r>
              <w:t>16</w:t>
            </w:r>
          </w:p>
        </w:tc>
        <w:tc>
          <w:tcPr>
            <w:tcW w:w="2057" w:type="dxa"/>
            <w:tcMar>
              <w:top w:w="35" w:type="dxa"/>
              <w:left w:w="45" w:type="dxa"/>
              <w:bottom w:w="35" w:type="dxa"/>
              <w:right w:w="45" w:type="dxa"/>
            </w:tcMar>
            <w:vAlign w:val="center"/>
          </w:tcPr>
          <w:p>
            <w:pPr>
              <w:jc w:val="center"/>
            </w:pPr>
            <w:r>
              <w:t>31.2 (14.2–55.6)</w:t>
            </w:r>
          </w:p>
        </w:tc>
        <w:tc>
          <w:tcPr>
            <w:tcW w:w="2057" w:type="dxa"/>
            <w:tcMar>
              <w:top w:w="35" w:type="dxa"/>
              <w:left w:w="45" w:type="dxa"/>
              <w:bottom w:w="35" w:type="dxa"/>
              <w:right w:w="45" w:type="dxa"/>
            </w:tcMar>
            <w:vAlign w:val="center"/>
          </w:tcPr>
          <w:p>
            <w:pPr>
              <w:jc w:val="center"/>
            </w:pPr>
            <w:r>
              <w:t>13</w:t>
            </w:r>
          </w:p>
        </w:tc>
        <w:tc>
          <w:tcPr>
            <w:tcW w:w="2057" w:type="dxa"/>
            <w:tcMar>
              <w:top w:w="35" w:type="dxa"/>
              <w:left w:w="45" w:type="dxa"/>
              <w:bottom w:w="35" w:type="dxa"/>
              <w:right w:w="45" w:type="dxa"/>
            </w:tcMar>
            <w:vAlign w:val="center"/>
          </w:tcPr>
          <w:p>
            <w:pPr>
              <w:jc w:val="center"/>
            </w:pPr>
            <w:r>
              <w:t>53.8 (29.1–76.8)</w:t>
            </w:r>
          </w:p>
        </w:tc>
      </w:tr>
      <w:tr>
        <w:trPr>
          <w:jc w:val="center"/>
        </w:trPr>
        <w:tc>
          <w:tcPr>
            <w:tcW w:w="2057" w:type="dxa"/>
            <w:tcMar>
              <w:top w:w="35" w:type="dxa"/>
              <w:left w:w="45" w:type="dxa"/>
              <w:bottom w:w="35" w:type="dxa"/>
              <w:right w:w="45" w:type="dxa"/>
            </w:tcMar>
            <w:vAlign w:val="center"/>
          </w:tcPr>
          <w:p>
            <w:r>
              <w:rPr>
                <w:sz w:val="14"/>
              </w:rPr>
              <w:t>OXA Oxacillin 1 µg screen</w:t>
            </w:r>
          </w:p>
        </w:tc>
        <w:tc>
          <w:tcPr>
            <w:tcW w:w="2057" w:type="dxa"/>
            <w:tcMar>
              <w:top w:w="35" w:type="dxa"/>
              <w:left w:w="45" w:type="dxa"/>
              <w:bottom w:w="35" w:type="dxa"/>
              <w:right w:w="45" w:type="dxa"/>
            </w:tcMar>
            <w:vAlign w:val="center"/>
          </w:tcPr>
          <w:p>
            <w:pPr>
              <w:jc w:val="center"/>
            </w:pPr>
            <w:r>
              <w:rPr>
                <w:sz w:val="14"/>
              </w:rPr>
              <w:t>13</w:t>
            </w:r>
          </w:p>
        </w:tc>
        <w:tc>
          <w:tcPr>
            <w:tcW w:w="2057" w:type="dxa"/>
            <w:tcMar>
              <w:top w:w="35" w:type="dxa"/>
              <w:left w:w="45" w:type="dxa"/>
              <w:bottom w:w="35" w:type="dxa"/>
              <w:right w:w="45" w:type="dxa"/>
            </w:tcMar>
            <w:vAlign w:val="center"/>
          </w:tcPr>
          <w:p>
            <w:pPr>
              <w:jc w:val="center"/>
            </w:pPr>
            <w:r>
              <w:rPr>
                <w:sz w:val="14"/>
              </w:rPr>
              <w:t>0.0 (0.0–22.8)</w:t>
            </w:r>
          </w:p>
        </w:tc>
        <w:tc>
          <w:tcPr>
            <w:tcW w:w="2057" w:type="dxa"/>
            <w:tcMar>
              <w:top w:w="35" w:type="dxa"/>
              <w:left w:w="45" w:type="dxa"/>
              <w:bottom w:w="35" w:type="dxa"/>
              <w:right w:w="45" w:type="dxa"/>
            </w:tcMar>
            <w:vAlign w:val="center"/>
          </w:tcPr>
          <w:p>
            <w:pPr>
              <w:jc w:val="center"/>
            </w:pPr>
            <w:r>
              <w:rPr>
                <w:sz w:val="14"/>
              </w:rPr>
              <w:t>18</w:t>
            </w:r>
          </w:p>
        </w:tc>
        <w:tc>
          <w:tcPr>
            <w:tcW w:w="2057" w:type="dxa"/>
            <w:tcMar>
              <w:top w:w="35" w:type="dxa"/>
              <w:left w:w="45" w:type="dxa"/>
              <w:bottom w:w="35" w:type="dxa"/>
              <w:right w:w="45" w:type="dxa"/>
            </w:tcMar>
            <w:vAlign w:val="center"/>
          </w:tcPr>
          <w:p>
            <w:pPr>
              <w:jc w:val="center"/>
            </w:pPr>
            <w:r>
              <w:rPr>
                <w:sz w:val="14"/>
              </w:rPr>
              <w:t>22.2 (9.0–45.2)</w:t>
            </w:r>
          </w:p>
        </w:tc>
        <w:tc>
          <w:tcPr>
            <w:tcW w:w="2057" w:type="dxa"/>
            <w:tcMar>
              <w:top w:w="35" w:type="dxa"/>
              <w:left w:w="45" w:type="dxa"/>
              <w:bottom w:w="35" w:type="dxa"/>
              <w:right w:w="45" w:type="dxa"/>
            </w:tcMar>
            <w:vAlign w:val="center"/>
          </w:tcPr>
          <w:p>
            <w:pPr>
              <w:jc w:val="center"/>
            </w:pPr>
            <w:r>
              <w:rPr>
                <w:sz w:val="14"/>
              </w:rPr>
              <w:t>14</w:t>
            </w:r>
          </w:p>
        </w:tc>
        <w:tc>
          <w:tcPr>
            <w:tcW w:w="2057" w:type="dxa"/>
            <w:tcMar>
              <w:top w:w="35" w:type="dxa"/>
              <w:left w:w="45" w:type="dxa"/>
              <w:bottom w:w="35" w:type="dxa"/>
              <w:right w:w="45" w:type="dxa"/>
            </w:tcMar>
            <w:vAlign w:val="center"/>
          </w:tcPr>
          <w:p>
            <w:pPr>
              <w:jc w:val="center"/>
            </w:pPr>
            <w:r>
              <w:rPr>
                <w:sz w:val="14"/>
              </w:rPr>
              <w:t>21.4 (7.6–47.6)</w:t>
            </w:r>
          </w:p>
        </w:tc>
      </w:tr>
      <w:tr>
        <w:trPr>
          <w:jc w:val="center"/>
        </w:trPr>
        <w:tc>
          <w:tcPr>
            <w:tcW w:w="14399" w:type="dxa"/>
            <w:gridSpan w:val="7"/>
            <w:shd w:val="clear" w:color="auto" w:fill="E7E6E6"/>
            <w:tcMar>
              <w:top w:w="35" w:type="dxa"/>
              <w:left w:w="45" w:type="dxa"/>
              <w:bottom w:w="35" w:type="dxa"/>
              <w:right w:w="45" w:type="dxa"/>
            </w:tcMar>
            <w:vAlign w:val="center"/>
          </w:tcPr>
          <w:p>
            <w:r>
              <w:rPr>
                <w:b/>
                <w:sz w:val="15"/>
              </w:rPr>
              <w:t>C. Agents without applicable S. pneumoniae interpretive criteria — percentage historically recorded as category “S”; not interpretable as susceptibility</w:t>
            </w:r>
          </w:p>
        </w:tc>
      </w:tr>
      <w:tr>
        <w:trPr>
          <w:jc w:val="center"/>
        </w:trPr>
        <w:tc>
          <w:tcPr>
            <w:tcW w:w="2057" w:type="dxa"/>
            <w:tcMar>
              <w:top w:w="35" w:type="dxa"/>
              <w:left w:w="45" w:type="dxa"/>
              <w:bottom w:w="35" w:type="dxa"/>
              <w:right w:w="45" w:type="dxa"/>
            </w:tcMar>
            <w:vAlign w:val="center"/>
          </w:tcPr>
          <w:p>
            <w:r>
              <w:rPr>
                <w:sz w:val="14"/>
              </w:rPr>
              <w:t>CAZ Ceftazidime</w:t>
            </w:r>
          </w:p>
        </w:tc>
        <w:tc>
          <w:tcPr>
            <w:tcW w:w="2057" w:type="dxa"/>
            <w:tcMar>
              <w:top w:w="35" w:type="dxa"/>
              <w:left w:w="45" w:type="dxa"/>
              <w:bottom w:w="35" w:type="dxa"/>
              <w:right w:w="45" w:type="dxa"/>
            </w:tcMar>
            <w:vAlign w:val="center"/>
          </w:tcPr>
          <w:p>
            <w:pPr>
              <w:jc w:val="center"/>
            </w:pPr>
            <w:r>
              <w:rPr>
                <w:sz w:val="14"/>
              </w:rPr>
              <w:t>13</w:t>
            </w:r>
          </w:p>
        </w:tc>
        <w:tc>
          <w:tcPr>
            <w:tcW w:w="2057" w:type="dxa"/>
            <w:tcMar>
              <w:top w:w="35" w:type="dxa"/>
              <w:left w:w="45" w:type="dxa"/>
              <w:bottom w:w="35" w:type="dxa"/>
              <w:right w:w="45" w:type="dxa"/>
            </w:tcMar>
            <w:vAlign w:val="center"/>
          </w:tcPr>
          <w:p>
            <w:pPr>
              <w:jc w:val="center"/>
            </w:pPr>
            <w:r>
              <w:rPr>
                <w:sz w:val="14"/>
              </w:rPr>
              <w:t>0.0 (0.0–22.8)</w:t>
            </w:r>
          </w:p>
        </w:tc>
        <w:tc>
          <w:tcPr>
            <w:tcW w:w="2057" w:type="dxa"/>
            <w:tcMar>
              <w:top w:w="35" w:type="dxa"/>
              <w:left w:w="45" w:type="dxa"/>
              <w:bottom w:w="35" w:type="dxa"/>
              <w:right w:w="45" w:type="dxa"/>
            </w:tcMar>
            <w:vAlign w:val="center"/>
          </w:tcPr>
          <w:p>
            <w:pPr>
              <w:jc w:val="center"/>
            </w:pPr>
            <w:r>
              <w:rPr>
                <w:sz w:val="14"/>
              </w:rPr>
              <w:t>4</w:t>
            </w:r>
          </w:p>
        </w:tc>
        <w:tc>
          <w:tcPr>
            <w:tcW w:w="2057" w:type="dxa"/>
            <w:tcMar>
              <w:top w:w="35" w:type="dxa"/>
              <w:left w:w="45" w:type="dxa"/>
              <w:bottom w:w="35" w:type="dxa"/>
              <w:right w:w="45" w:type="dxa"/>
            </w:tcMar>
            <w:vAlign w:val="center"/>
          </w:tcPr>
          <w:p>
            <w:pPr>
              <w:jc w:val="center"/>
            </w:pPr>
            <w:r>
              <w:rPr>
                <w:sz w:val="14"/>
              </w:rPr>
              <w:t>25.0 (4.6–69.9)</w:t>
            </w:r>
          </w:p>
        </w:tc>
        <w:tc>
          <w:tcPr>
            <w:tcW w:w="2057" w:type="dxa"/>
            <w:tcMar>
              <w:top w:w="35" w:type="dxa"/>
              <w:left w:w="45" w:type="dxa"/>
              <w:bottom w:w="35" w:type="dxa"/>
              <w:right w:w="45" w:type="dxa"/>
            </w:tcMar>
            <w:vAlign w:val="center"/>
          </w:tcPr>
          <w:p>
            <w:pPr>
              <w:jc w:val="center"/>
            </w:pPr>
            <w:r>
              <w:rPr>
                <w:sz w:val="14"/>
              </w:rPr>
              <w:t>9</w:t>
            </w:r>
          </w:p>
        </w:tc>
        <w:tc>
          <w:tcPr>
            <w:tcW w:w="2057" w:type="dxa"/>
            <w:tcMar>
              <w:top w:w="35" w:type="dxa"/>
              <w:left w:w="45" w:type="dxa"/>
              <w:bottom w:w="35" w:type="dxa"/>
              <w:right w:w="45" w:type="dxa"/>
            </w:tcMar>
            <w:vAlign w:val="center"/>
          </w:tcPr>
          <w:p>
            <w:pPr>
              <w:jc w:val="center"/>
            </w:pPr>
            <w:r>
              <w:rPr>
                <w:sz w:val="14"/>
              </w:rPr>
              <w:t>22.2 (6.3–54.7)</w:t>
            </w:r>
          </w:p>
        </w:tc>
      </w:tr>
      <w:tr>
        <w:trPr>
          <w:jc w:val="center"/>
        </w:trPr>
        <w:tc>
          <w:tcPr>
            <w:tcW w:w="2057" w:type="dxa"/>
            <w:tcMar>
              <w:top w:w="35" w:type="dxa"/>
              <w:left w:w="45" w:type="dxa"/>
              <w:bottom w:w="35" w:type="dxa"/>
              <w:right w:w="45" w:type="dxa"/>
            </w:tcMar>
            <w:vAlign w:val="center"/>
          </w:tcPr>
          <w:p>
            <w:r>
              <w:rPr>
                <w:sz w:val="14"/>
              </w:rPr>
              <w:t>GEN Gentamicin</w:t>
            </w:r>
          </w:p>
        </w:tc>
        <w:tc>
          <w:tcPr>
            <w:tcW w:w="2057" w:type="dxa"/>
            <w:tcMar>
              <w:top w:w="35" w:type="dxa"/>
              <w:left w:w="45" w:type="dxa"/>
              <w:bottom w:w="35" w:type="dxa"/>
              <w:right w:w="45" w:type="dxa"/>
            </w:tcMar>
            <w:vAlign w:val="center"/>
          </w:tcPr>
          <w:p>
            <w:pPr>
              <w:jc w:val="center"/>
            </w:pPr>
            <w:r>
              <w:rPr>
                <w:sz w:val="14"/>
              </w:rPr>
              <w:t>5</w:t>
            </w:r>
          </w:p>
        </w:tc>
        <w:tc>
          <w:tcPr>
            <w:tcW w:w="2057" w:type="dxa"/>
            <w:tcMar>
              <w:top w:w="35" w:type="dxa"/>
              <w:left w:w="45" w:type="dxa"/>
              <w:bottom w:w="35" w:type="dxa"/>
              <w:right w:w="45" w:type="dxa"/>
            </w:tcMar>
            <w:vAlign w:val="center"/>
          </w:tcPr>
          <w:p>
            <w:pPr>
              <w:jc w:val="center"/>
            </w:pPr>
            <w:r>
              <w:rPr>
                <w:sz w:val="14"/>
              </w:rPr>
              <w:t>60.0 (23.1–88.2)</w:t>
            </w:r>
          </w:p>
        </w:tc>
        <w:tc>
          <w:tcPr>
            <w:tcW w:w="2057" w:type="dxa"/>
            <w:tcMar>
              <w:top w:w="35" w:type="dxa"/>
              <w:left w:w="45" w:type="dxa"/>
              <w:bottom w:w="35" w:type="dxa"/>
              <w:right w:w="45" w:type="dxa"/>
            </w:tcMar>
            <w:vAlign w:val="center"/>
          </w:tcPr>
          <w:p>
            <w:pPr>
              <w:jc w:val="center"/>
            </w:pPr>
            <w:r>
              <w:rPr>
                <w:sz w:val="14"/>
              </w:rPr>
              <w:t>21</w:t>
            </w:r>
          </w:p>
        </w:tc>
        <w:tc>
          <w:tcPr>
            <w:tcW w:w="2057" w:type="dxa"/>
            <w:tcMar>
              <w:top w:w="35" w:type="dxa"/>
              <w:left w:w="45" w:type="dxa"/>
              <w:bottom w:w="35" w:type="dxa"/>
              <w:right w:w="45" w:type="dxa"/>
            </w:tcMar>
            <w:vAlign w:val="center"/>
          </w:tcPr>
          <w:p>
            <w:pPr>
              <w:jc w:val="center"/>
            </w:pPr>
            <w:r>
              <w:rPr>
                <w:sz w:val="14"/>
              </w:rPr>
              <w:t>19.0 (7.7–40.0)</w:t>
            </w:r>
          </w:p>
        </w:tc>
        <w:tc>
          <w:tcPr>
            <w:tcW w:w="2057" w:type="dxa"/>
            <w:tcMar>
              <w:top w:w="35" w:type="dxa"/>
              <w:left w:w="45" w:type="dxa"/>
              <w:bottom w:w="35" w:type="dxa"/>
              <w:right w:w="45" w:type="dxa"/>
            </w:tcMar>
            <w:vAlign w:val="center"/>
          </w:tcPr>
          <w:p>
            <w:pPr>
              <w:jc w:val="center"/>
            </w:pPr>
            <w:r>
              <w:rPr>
                <w:sz w:val="14"/>
              </w:rPr>
              <w:t>8</w:t>
            </w:r>
          </w:p>
        </w:tc>
        <w:tc>
          <w:tcPr>
            <w:tcW w:w="2057" w:type="dxa"/>
            <w:tcMar>
              <w:top w:w="35" w:type="dxa"/>
              <w:left w:w="45" w:type="dxa"/>
              <w:bottom w:w="35" w:type="dxa"/>
              <w:right w:w="45" w:type="dxa"/>
            </w:tcMar>
            <w:vAlign w:val="center"/>
          </w:tcPr>
          <w:p>
            <w:pPr>
              <w:jc w:val="center"/>
            </w:pPr>
            <w:r>
              <w:rPr>
                <w:sz w:val="14"/>
              </w:rPr>
              <w:t>50.0 (21.5–78.5)</w:t>
            </w:r>
          </w:p>
        </w:tc>
      </w:tr>
      <w:tr>
        <w:trPr>
          <w:jc w:val="center"/>
        </w:trPr>
        <w:tc>
          <w:tcPr>
            <w:tcW w:w="2057" w:type="dxa"/>
            <w:tcMar>
              <w:top w:w="35" w:type="dxa"/>
              <w:left w:w="45" w:type="dxa"/>
              <w:bottom w:w="35" w:type="dxa"/>
              <w:right w:w="45" w:type="dxa"/>
            </w:tcMar>
            <w:vAlign w:val="center"/>
          </w:tcPr>
          <w:p>
            <w:r>
              <w:rPr>
                <w:sz w:val="14"/>
              </w:rPr>
              <w:t>CIP Ciprofloxacin</w:t>
            </w:r>
          </w:p>
        </w:tc>
        <w:tc>
          <w:tcPr>
            <w:tcW w:w="2057" w:type="dxa"/>
            <w:tcMar>
              <w:top w:w="35" w:type="dxa"/>
              <w:left w:w="45" w:type="dxa"/>
              <w:bottom w:w="35" w:type="dxa"/>
              <w:right w:w="45" w:type="dxa"/>
            </w:tcMar>
            <w:vAlign w:val="center"/>
          </w:tcPr>
          <w:p>
            <w:pPr>
              <w:jc w:val="center"/>
            </w:pPr>
            <w:r>
              <w:rPr>
                <w:sz w:val="14"/>
              </w:rPr>
              <w:t>5</w:t>
            </w:r>
          </w:p>
        </w:tc>
        <w:tc>
          <w:tcPr>
            <w:tcW w:w="2057" w:type="dxa"/>
            <w:tcMar>
              <w:top w:w="35" w:type="dxa"/>
              <w:left w:w="45" w:type="dxa"/>
              <w:bottom w:w="35" w:type="dxa"/>
              <w:right w:w="45" w:type="dxa"/>
            </w:tcMar>
            <w:vAlign w:val="center"/>
          </w:tcPr>
          <w:p>
            <w:pPr>
              <w:jc w:val="center"/>
            </w:pPr>
            <w:r>
              <w:rPr>
                <w:sz w:val="14"/>
              </w:rPr>
              <w:t>80.0 (37.6–96.4)</w:t>
            </w:r>
          </w:p>
        </w:tc>
        <w:tc>
          <w:tcPr>
            <w:tcW w:w="2057" w:type="dxa"/>
            <w:tcMar>
              <w:top w:w="35" w:type="dxa"/>
              <w:left w:w="45" w:type="dxa"/>
              <w:bottom w:w="35" w:type="dxa"/>
              <w:right w:w="45" w:type="dxa"/>
            </w:tcMar>
            <w:vAlign w:val="center"/>
          </w:tcPr>
          <w:p>
            <w:pPr>
              <w:jc w:val="center"/>
            </w:pPr>
            <w:r>
              <w:rPr>
                <w:sz w:val="14"/>
              </w:rPr>
              <w:t>19</w:t>
            </w:r>
          </w:p>
        </w:tc>
        <w:tc>
          <w:tcPr>
            <w:tcW w:w="2057" w:type="dxa"/>
            <w:tcMar>
              <w:top w:w="35" w:type="dxa"/>
              <w:left w:w="45" w:type="dxa"/>
              <w:bottom w:w="35" w:type="dxa"/>
              <w:right w:w="45" w:type="dxa"/>
            </w:tcMar>
            <w:vAlign w:val="center"/>
          </w:tcPr>
          <w:p>
            <w:pPr>
              <w:jc w:val="center"/>
            </w:pPr>
            <w:r>
              <w:rPr>
                <w:sz w:val="14"/>
              </w:rPr>
              <w:t>68.4 (46.0–84.6)</w:t>
            </w:r>
          </w:p>
        </w:tc>
        <w:tc>
          <w:tcPr>
            <w:tcW w:w="2057" w:type="dxa"/>
            <w:tcMar>
              <w:top w:w="35" w:type="dxa"/>
              <w:left w:w="45" w:type="dxa"/>
              <w:bottom w:w="35" w:type="dxa"/>
              <w:right w:w="45" w:type="dxa"/>
            </w:tcMar>
            <w:vAlign w:val="center"/>
          </w:tcPr>
          <w:p>
            <w:pPr>
              <w:jc w:val="center"/>
            </w:pPr>
            <w:r>
              <w:rPr>
                <w:sz w:val="14"/>
              </w:rPr>
              <w:t>9</w:t>
            </w:r>
          </w:p>
        </w:tc>
        <w:tc>
          <w:tcPr>
            <w:tcW w:w="2057" w:type="dxa"/>
            <w:tcMar>
              <w:top w:w="35" w:type="dxa"/>
              <w:left w:w="45" w:type="dxa"/>
              <w:bottom w:w="35" w:type="dxa"/>
              <w:right w:w="45" w:type="dxa"/>
            </w:tcMar>
            <w:vAlign w:val="center"/>
          </w:tcPr>
          <w:p>
            <w:pPr>
              <w:jc w:val="center"/>
            </w:pPr>
            <w:r>
              <w:rPr>
                <w:sz w:val="14"/>
              </w:rPr>
              <w:t>66.7 (35.4–87.9)</w:t>
            </w:r>
          </w:p>
        </w:tc>
      </w:tr>
      <w:tr>
        <w:trPr>
          <w:jc w:val="center"/>
        </w:trPr>
        <w:tc>
          <w:tcPr>
            <w:tcW w:w="2057" w:type="dxa"/>
            <w:tcMar>
              <w:top w:w="35" w:type="dxa"/>
              <w:left w:w="45" w:type="dxa"/>
              <w:bottom w:w="35" w:type="dxa"/>
              <w:right w:w="45" w:type="dxa"/>
            </w:tcMar>
            <w:vAlign w:val="center"/>
          </w:tcPr>
          <w:p>
            <w:r>
              <w:rPr>
                <w:sz w:val="14"/>
              </w:rPr>
              <w:t>OFX Ofloxacin</w:t>
            </w:r>
          </w:p>
        </w:tc>
        <w:tc>
          <w:tcPr>
            <w:tcW w:w="2057" w:type="dxa"/>
            <w:tcMar>
              <w:top w:w="35" w:type="dxa"/>
              <w:left w:w="45" w:type="dxa"/>
              <w:bottom w:w="35" w:type="dxa"/>
              <w:right w:w="45" w:type="dxa"/>
            </w:tcMar>
            <w:vAlign w:val="center"/>
          </w:tcPr>
          <w:p>
            <w:pPr>
              <w:jc w:val="center"/>
            </w:pPr>
            <w:r>
              <w:rPr>
                <w:sz w:val="14"/>
              </w:rPr>
              <w:t>12</w:t>
            </w:r>
          </w:p>
        </w:tc>
        <w:tc>
          <w:tcPr>
            <w:tcW w:w="2057" w:type="dxa"/>
            <w:tcMar>
              <w:top w:w="35" w:type="dxa"/>
              <w:left w:w="45" w:type="dxa"/>
              <w:bottom w:w="35" w:type="dxa"/>
              <w:right w:w="45" w:type="dxa"/>
            </w:tcMar>
            <w:vAlign w:val="center"/>
          </w:tcPr>
          <w:p>
            <w:pPr>
              <w:jc w:val="center"/>
            </w:pPr>
            <w:r>
              <w:rPr>
                <w:sz w:val="14"/>
              </w:rPr>
              <w:t>50.0 (25.4–74.6)</w:t>
            </w:r>
          </w:p>
        </w:tc>
        <w:tc>
          <w:tcPr>
            <w:tcW w:w="2057" w:type="dxa"/>
            <w:tcMar>
              <w:top w:w="35" w:type="dxa"/>
              <w:left w:w="45" w:type="dxa"/>
              <w:bottom w:w="35" w:type="dxa"/>
              <w:right w:w="45" w:type="dxa"/>
            </w:tcMar>
            <w:vAlign w:val="center"/>
          </w:tcPr>
          <w:p>
            <w:pPr>
              <w:jc w:val="center"/>
            </w:pPr>
            <w:r>
              <w:rPr>
                <w:sz w:val="14"/>
              </w:rPr>
              <w:t>19</w:t>
            </w:r>
          </w:p>
        </w:tc>
        <w:tc>
          <w:tcPr>
            <w:tcW w:w="2057" w:type="dxa"/>
            <w:tcMar>
              <w:top w:w="35" w:type="dxa"/>
              <w:left w:w="45" w:type="dxa"/>
              <w:bottom w:w="35" w:type="dxa"/>
              <w:right w:w="45" w:type="dxa"/>
            </w:tcMar>
            <w:vAlign w:val="center"/>
          </w:tcPr>
          <w:p>
            <w:pPr>
              <w:jc w:val="center"/>
            </w:pPr>
            <w:r>
              <w:rPr>
                <w:sz w:val="14"/>
              </w:rPr>
              <w:t>57.9 (36.3–76.9)</w:t>
            </w:r>
          </w:p>
        </w:tc>
        <w:tc>
          <w:tcPr>
            <w:tcW w:w="2057" w:type="dxa"/>
            <w:tcMar>
              <w:top w:w="35" w:type="dxa"/>
              <w:left w:w="45" w:type="dxa"/>
              <w:bottom w:w="35" w:type="dxa"/>
              <w:right w:w="45" w:type="dxa"/>
            </w:tcMar>
            <w:vAlign w:val="center"/>
          </w:tcPr>
          <w:p>
            <w:pPr>
              <w:jc w:val="center"/>
            </w:pPr>
            <w:r>
              <w:rPr>
                <w:sz w:val="14"/>
              </w:rPr>
              <w:t>15</w:t>
            </w:r>
          </w:p>
        </w:tc>
        <w:tc>
          <w:tcPr>
            <w:tcW w:w="2057" w:type="dxa"/>
            <w:tcMar>
              <w:top w:w="35" w:type="dxa"/>
              <w:left w:w="45" w:type="dxa"/>
              <w:bottom w:w="35" w:type="dxa"/>
              <w:right w:w="45" w:type="dxa"/>
            </w:tcMar>
            <w:vAlign w:val="center"/>
          </w:tcPr>
          <w:p>
            <w:pPr>
              <w:jc w:val="center"/>
            </w:pPr>
            <w:r>
              <w:rPr>
                <w:sz w:val="14"/>
              </w:rPr>
              <w:t>53.3 (30.1–75.2)</w:t>
            </w:r>
          </w:p>
        </w:tc>
      </w:tr>
      <w:tr>
        <w:trPr>
          <w:jc w:val="center"/>
        </w:trPr>
        <w:tc>
          <w:tcPr>
            <w:tcW w:w="14399" w:type="dxa"/>
            <w:gridSpan w:val="7"/>
            <w:shd w:val="clear" w:color="auto" w:fill="E7E6E6"/>
            <w:tcMar>
              <w:top w:w="35" w:type="dxa"/>
              <w:left w:w="45" w:type="dxa"/>
              <w:bottom w:w="35" w:type="dxa"/>
              <w:right w:w="45" w:type="dxa"/>
            </w:tcMar>
            <w:vAlign w:val="center"/>
          </w:tcPr>
          <w:p>
            <w:r>
              <w:rPr>
                <w:b/>
                <w:sz w:val="15"/>
              </w:rPr>
              <w:t>D. Multidrug resistance</w:t>
            </w:r>
          </w:p>
        </w:tc>
      </w:tr>
      <w:tr>
        <w:trPr>
          <w:jc w:val="center"/>
        </w:trPr>
        <w:tc>
          <w:tcPr>
            <w:tcW w:w="2057" w:type="dxa"/>
            <w:tcMar>
              <w:top w:w="35" w:type="dxa"/>
              <w:left w:w="45" w:type="dxa"/>
              <w:bottom w:w="35" w:type="dxa"/>
              <w:right w:w="45" w:type="dxa"/>
            </w:tcMar>
            <w:vAlign w:val="center"/>
          </w:tcPr>
          <w:p>
            <w:r>
              <w:t>MDR, primary definition</w:t>
            </w:r>
          </w:p>
        </w:tc>
        <w:tc>
          <w:tcPr>
            <w:tcW w:w="2057" w:type="dxa"/>
            <w:tcMar>
              <w:top w:w="35" w:type="dxa"/>
              <w:left w:w="45" w:type="dxa"/>
              <w:bottom w:w="35" w:type="dxa"/>
              <w:right w:w="45" w:type="dxa"/>
            </w:tcMar>
            <w:vAlign w:val="center"/>
          </w:tcPr>
          <w:p>
            <w:pPr>
              <w:jc w:val="center"/>
            </w:pPr>
            <w:r>
              <w:t>17</w:t>
            </w:r>
          </w:p>
        </w:tc>
        <w:tc>
          <w:tcPr>
            <w:tcW w:w="2057" w:type="dxa"/>
            <w:tcMar>
              <w:top w:w="35" w:type="dxa"/>
              <w:left w:w="45" w:type="dxa"/>
              <w:bottom w:w="35" w:type="dxa"/>
              <w:right w:w="45" w:type="dxa"/>
            </w:tcMar>
            <w:vAlign w:val="center"/>
          </w:tcPr>
          <w:p>
            <w:pPr>
              <w:jc w:val="center"/>
            </w:pPr>
            <w:r>
              <w:t>70.6 (46.9–86.7)</w:t>
            </w:r>
          </w:p>
        </w:tc>
        <w:tc>
          <w:tcPr>
            <w:tcW w:w="2057" w:type="dxa"/>
            <w:tcMar>
              <w:top w:w="35" w:type="dxa"/>
              <w:left w:w="45" w:type="dxa"/>
              <w:bottom w:w="35" w:type="dxa"/>
              <w:right w:w="45" w:type="dxa"/>
            </w:tcMar>
            <w:vAlign w:val="center"/>
          </w:tcPr>
          <w:p>
            <w:pPr>
              <w:jc w:val="center"/>
            </w:pPr>
            <w:r>
              <w:t>23</w:t>
            </w:r>
          </w:p>
        </w:tc>
        <w:tc>
          <w:tcPr>
            <w:tcW w:w="2057" w:type="dxa"/>
            <w:tcMar>
              <w:top w:w="35" w:type="dxa"/>
              <w:left w:w="45" w:type="dxa"/>
              <w:bottom w:w="35" w:type="dxa"/>
              <w:right w:w="45" w:type="dxa"/>
            </w:tcMar>
            <w:vAlign w:val="center"/>
          </w:tcPr>
          <w:p>
            <w:pPr>
              <w:jc w:val="center"/>
            </w:pPr>
            <w:r>
              <w:t>60.9 (40.8–77.8)</w:t>
            </w:r>
          </w:p>
        </w:tc>
        <w:tc>
          <w:tcPr>
            <w:tcW w:w="2057" w:type="dxa"/>
            <w:tcMar>
              <w:top w:w="35" w:type="dxa"/>
              <w:left w:w="45" w:type="dxa"/>
              <w:bottom w:w="35" w:type="dxa"/>
              <w:right w:w="45" w:type="dxa"/>
            </w:tcMar>
            <w:vAlign w:val="center"/>
          </w:tcPr>
          <w:p>
            <w:pPr>
              <w:jc w:val="center"/>
            </w:pPr>
            <w:r>
              <w:t>18</w:t>
            </w:r>
          </w:p>
        </w:tc>
        <w:tc>
          <w:tcPr>
            <w:tcW w:w="2057" w:type="dxa"/>
            <w:tcMar>
              <w:top w:w="35" w:type="dxa"/>
              <w:left w:w="45" w:type="dxa"/>
              <w:bottom w:w="35" w:type="dxa"/>
              <w:right w:w="45" w:type="dxa"/>
            </w:tcMar>
            <w:vAlign w:val="center"/>
          </w:tcPr>
          <w:p>
            <w:pPr>
              <w:jc w:val="center"/>
            </w:pPr>
            <w:r>
              <w:t>66.7 (43.7–83.7)</w:t>
            </w:r>
          </w:p>
        </w:tc>
      </w:tr>
      <w:tr>
        <w:trPr>
          <w:jc w:val="center"/>
        </w:trPr>
        <w:tc>
          <w:tcPr>
            <w:tcW w:w="2057" w:type="dxa"/>
            <w:tcMar>
              <w:top w:w="35" w:type="dxa"/>
              <w:left w:w="45" w:type="dxa"/>
              <w:bottom w:w="35" w:type="dxa"/>
              <w:right w:w="45" w:type="dxa"/>
            </w:tcMar>
            <w:vAlign w:val="center"/>
          </w:tcPr>
          <w:p>
            <w:r>
              <w:rPr>
                <w:b/>
                <w:sz w:val="14"/>
              </w:rPr>
              <w:t>MDR, broader nine-category definition</w:t>
            </w:r>
          </w:p>
        </w:tc>
        <w:tc>
          <w:tcPr>
            <w:tcW w:w="2057" w:type="dxa"/>
            <w:tcMar>
              <w:top w:w="35" w:type="dxa"/>
              <w:left w:w="45" w:type="dxa"/>
              <w:bottom w:w="35" w:type="dxa"/>
              <w:right w:w="45" w:type="dxa"/>
            </w:tcMar>
            <w:vAlign w:val="center"/>
          </w:tcPr>
          <w:p>
            <w:pPr>
              <w:jc w:val="center"/>
            </w:pPr>
            <w:r>
              <w:rPr>
                <w:b/>
                <w:sz w:val="14"/>
              </w:rPr>
              <w:t>17</w:t>
            </w:r>
          </w:p>
        </w:tc>
        <w:tc>
          <w:tcPr>
            <w:tcW w:w="2057" w:type="dxa"/>
            <w:tcMar>
              <w:top w:w="35" w:type="dxa"/>
              <w:left w:w="45" w:type="dxa"/>
              <w:bottom w:w="35" w:type="dxa"/>
              <w:right w:w="45" w:type="dxa"/>
            </w:tcMar>
            <w:vAlign w:val="center"/>
          </w:tcPr>
          <w:p>
            <w:pPr>
              <w:jc w:val="center"/>
            </w:pPr>
            <w:r>
              <w:rPr>
                <w:b/>
                <w:sz w:val="14"/>
              </w:rPr>
              <w:t>88.2 (65.7–96.7)</w:t>
            </w:r>
          </w:p>
        </w:tc>
        <w:tc>
          <w:tcPr>
            <w:tcW w:w="2057" w:type="dxa"/>
            <w:tcMar>
              <w:top w:w="35" w:type="dxa"/>
              <w:left w:w="45" w:type="dxa"/>
              <w:bottom w:w="35" w:type="dxa"/>
              <w:right w:w="45" w:type="dxa"/>
            </w:tcMar>
            <w:vAlign w:val="center"/>
          </w:tcPr>
          <w:p>
            <w:pPr>
              <w:jc w:val="center"/>
            </w:pPr>
            <w:r>
              <w:rPr>
                <w:b/>
                <w:sz w:val="14"/>
              </w:rPr>
              <w:t>23</w:t>
            </w:r>
          </w:p>
        </w:tc>
        <w:tc>
          <w:tcPr>
            <w:tcW w:w="2057" w:type="dxa"/>
            <w:tcMar>
              <w:top w:w="35" w:type="dxa"/>
              <w:left w:w="45" w:type="dxa"/>
              <w:bottom w:w="35" w:type="dxa"/>
              <w:right w:w="45" w:type="dxa"/>
            </w:tcMar>
            <w:vAlign w:val="center"/>
          </w:tcPr>
          <w:p>
            <w:pPr>
              <w:jc w:val="center"/>
            </w:pPr>
            <w:r>
              <w:rPr>
                <w:b/>
                <w:sz w:val="14"/>
              </w:rPr>
              <w:t>87.0 (67.9–95.5)</w:t>
            </w:r>
          </w:p>
        </w:tc>
        <w:tc>
          <w:tcPr>
            <w:tcW w:w="2057" w:type="dxa"/>
            <w:tcMar>
              <w:top w:w="35" w:type="dxa"/>
              <w:left w:w="45" w:type="dxa"/>
              <w:bottom w:w="35" w:type="dxa"/>
              <w:right w:w="45" w:type="dxa"/>
            </w:tcMar>
            <w:vAlign w:val="center"/>
          </w:tcPr>
          <w:p>
            <w:pPr>
              <w:jc w:val="center"/>
            </w:pPr>
            <w:r>
              <w:rPr>
                <w:b/>
                <w:sz w:val="14"/>
              </w:rPr>
              <w:t>18</w:t>
            </w:r>
          </w:p>
        </w:tc>
        <w:tc>
          <w:tcPr>
            <w:tcW w:w="2057" w:type="dxa"/>
            <w:tcMar>
              <w:top w:w="35" w:type="dxa"/>
              <w:left w:w="45" w:type="dxa"/>
              <w:bottom w:w="35" w:type="dxa"/>
              <w:right w:w="45" w:type="dxa"/>
            </w:tcMar>
            <w:vAlign w:val="center"/>
          </w:tcPr>
          <w:p>
            <w:pPr>
              <w:jc w:val="center"/>
            </w:pPr>
            <w:r>
              <w:rPr>
                <w:b/>
                <w:sz w:val="14"/>
              </w:rPr>
              <w:t>94.4 (74.2–99.0)</w:t>
            </w:r>
          </w:p>
        </w:tc>
      </w:tr>
    </w:tbl>
    <w:p>
      <w:r>
        <w:rPr>
          <w:b/>
          <w:highlight w:val="yellow"/>
        </w:rPr>
        <w:t xml:space="preserve">Notes. </w:t>
      </w:r>
      <w:r>
        <w:rPr>
          <w:highlight w:val="yellow"/>
        </w:rPr>
        <w:t>Section A reports susceptibility proportions only for agents with an independent applicable CLSI S. pneumoniae interpretive criterion. Section B reports results that are not independently interpretable: ampicillin, whose categorical result is a surrogate interpretation derived from penicillin rather than an independent pneumococcal breakpoint (CLSI M100 Table 2G), and the oxacillin screen, reported as the proportion screen-negative; a positive oxacillin screen indicates the need for confirmatory penicillin MIC testing and is not oxacillin resistance. Neither ampicillin nor the oxacillin screen contributed to the primary MDR classification. Section C reproduces the historical laboratory category “S” solely to document the panel performed; these values are not valid susceptibility estimates and did not contribute to the primary MDR classification. Multidrug resistance by year is shown in Section D; primary-definition estimates are 70.6% (2022), 60.9% (2023), and 66.7% (2024). 95% confidence intervals overlap across the three years, and no temporal trend is inferred.</w:t>
      </w:r>
    </w:p>
    <w:p>
      <w:r>
        <w:br w:type="page"/>
      </w:r>
    </w:p>
    <w:p>
      <w:r>
        <w:rPr>
          <w:b/>
        </w:rPr>
        <w:lastRenderedPageBreak/>
        <w:t>Supplementary Table S4. CLSI M100 organism-specific table, edition, and interpretive criterion applied to every agent and screening test reported in Table 2, Sections A and B, by study year.</w:t>
      </w:r>
    </w:p>
    <w:tbl>
      <w:tblPr>
        <w:tblStyle w:val="TableGrid"/>
        <w:tblW w:w="0" w:type="auto"/>
        <w:tblLook w:val="04A0" w:firstRow="1" w:lastRow="0" w:firstColumn="1" w:lastColumn="0" w:noHBand="0" w:noVBand="1"/>
      </w:tblPr>
      <w:tblGrid>
        <w:gridCol w:w="2400"/>
        <w:gridCol w:w="2400"/>
        <w:gridCol w:w="2400"/>
        <w:gridCol w:w="2400"/>
        <w:gridCol w:w="2400"/>
        <w:gridCol w:w="2400"/>
      </w:tblGrid>
      <w:tr>
        <w:tc>
          <w:tcPr>
            <w:tcW w:w="2400" w:type="dxa"/>
          </w:tcPr>
          <w:p>
            <w:r>
              <w:rPr>
                <w:b/>
              </w:rPr>
              <w:t>Agent (criterion applied)</w:t>
            </w:r>
          </w:p>
        </w:tc>
        <w:tc>
          <w:tcPr>
            <w:tcW w:w="2400" w:type="dxa"/>
          </w:tcPr>
          <w:p>
            <w:r>
              <w:rPr>
                <w:b/>
              </w:rPr>
              <w:t>CLSI M100 table</w:t>
            </w:r>
          </w:p>
        </w:tc>
        <w:tc>
          <w:tcPr>
            <w:tcW w:w="2400" w:type="dxa"/>
          </w:tcPr>
          <w:p>
            <w:r>
              <w:rPr>
                <w:b/>
              </w:rPr>
              <w:t>Measurement</w:t>
            </w:r>
          </w:p>
        </w:tc>
        <w:tc>
          <w:tcPr>
            <w:tcW w:w="2400" w:type="dxa"/>
          </w:tcPr>
          <w:p>
            <w:r>
              <w:rPr>
                <w:b/>
              </w:rPr>
              <w:t>Breakpoint (S / I / R)</w:t>
            </w:r>
          </w:p>
        </w:tc>
        <w:tc>
          <w:tcPr>
            <w:tcW w:w="2400" w:type="dxa"/>
          </w:tcPr>
          <w:p>
            <w:r>
              <w:rPr>
                <w:b/>
              </w:rPr>
              <w:t>Edition(s) applied</w:t>
            </w:r>
          </w:p>
        </w:tc>
        <w:tc>
          <w:tcPr>
            <w:tcW w:w="2400" w:type="dxa"/>
          </w:tcPr>
          <w:p>
            <w:r>
              <w:rPr>
                <w:b/>
              </w:rPr>
              <w:t>Notes</w:t>
            </w:r>
          </w:p>
        </w:tc>
      </w:tr>
      <w:tr>
        <w:tc>
          <w:tcPr>
            <w:tcW w:w="2400" w:type="dxa"/>
          </w:tcPr>
          <w:p>
            <w:r>
              <w:t>Penicillin (parenteral, non-meningitis)</w:t>
            </w:r>
          </w:p>
        </w:tc>
        <w:tc>
          <w:tcPr>
            <w:tcW w:w="2400" w:type="dxa"/>
          </w:tcPr>
          <w:p>
            <w:r>
              <w:rPr>
                <w:color w:val="FF0000"/>
                <w:highlight w:val="green"/>
              </w:rPr>
              <w:t>Table 2G</w:t>
            </w:r>
          </w:p>
        </w:tc>
        <w:tc>
          <w:tcPr>
            <w:tcW w:w="2400" w:type="dxa"/>
          </w:tcPr>
          <w:p>
            <w:r>
              <w:t>MIC, µg/mL</w:t>
            </w:r>
          </w:p>
        </w:tc>
        <w:tc>
          <w:tcPr>
            <w:tcW w:w="2400" w:type="dxa"/>
          </w:tcPr>
          <w:p>
            <w:r>
              <w:t>S ≤2; I 4; R ≥8</w:t>
            </w:r>
          </w:p>
        </w:tc>
        <w:tc>
          <w:tcPr>
            <w:tcW w:w="2400" w:type="dxa"/>
          </w:tcPr>
          <w:p>
            <w:r>
              <w:t>32nd (2022); 33rd (2023); 34th (2024)</w:t>
            </w:r>
          </w:p>
        </w:tc>
        <w:tc>
          <w:tcPr>
            <w:tcW w:w="2400" w:type="dxa"/>
          </w:tcPr>
          <w:p>
            <w:r>
              <w:t>Confirmed by gradient diffusion when oxacillin screen positive</w:t>
            </w:r>
          </w:p>
        </w:tc>
      </w:tr>
      <w:tr>
        <w:tc>
          <w:tcPr>
            <w:tcW w:w="2400" w:type="dxa"/>
          </w:tcPr>
          <w:p>
            <w:r>
              <w:t>Ampicillin</w:t>
            </w:r>
          </w:p>
        </w:tc>
        <w:tc>
          <w:tcPr>
            <w:tcW w:w="2400" w:type="dxa"/>
          </w:tcPr>
          <w:p>
            <w:r>
              <w:t>Table 2G</w:t>
            </w:r>
          </w:p>
        </w:tc>
        <w:tc>
          <w:tcPr>
            <w:tcW w:w="2400" w:type="dxa"/>
          </w:tcPr>
          <w:p>
            <w:r>
              <w:t>Surrogate interpretation</w:t>
            </w:r>
          </w:p>
        </w:tc>
        <w:tc>
          <w:tcPr>
            <w:tcW w:w="2400" w:type="dxa"/>
          </w:tcPr>
          <w:p>
            <w:r>
              <w:t>No independent organism-specific S/I/R breakpoint for S. pneumoniae</w:t>
            </w:r>
          </w:p>
        </w:tc>
        <w:tc>
          <w:tcPr>
            <w:tcW w:w="2400" w:type="dxa"/>
          </w:tcPr>
          <w:p>
            <w:r>
              <w:t>32nd (2022); 33rd (2023); 34th (2024)</w:t>
            </w:r>
          </w:p>
        </w:tc>
        <w:tc>
          <w:tcPr>
            <w:tcW w:w="2400" w:type="dxa"/>
          </w:tcPr>
          <w:p>
            <w:r>
              <w:t>Susceptibility inferred from penicillin susceptibility; excluded from the primary MDR algorithm and reported only in Table 2, Section B</w:t>
            </w:r>
          </w:p>
        </w:tc>
      </w:tr>
      <w:tr>
        <w:tc>
          <w:tcPr>
            <w:tcW w:w="2400" w:type="dxa"/>
          </w:tcPr>
          <w:p>
            <w:r>
              <w:t>Cefuroxime</w:t>
            </w:r>
            <w:r>
              <w:rPr>
                <w:color w:val="FF0000"/>
                <w:highlight w:val="green"/>
              </w:rPr>
              <w:t xml:space="preserve"> (parenteral)</w:t>
            </w:r>
          </w:p>
        </w:tc>
        <w:tc>
          <w:tcPr>
            <w:tcW w:w="2400" w:type="dxa"/>
          </w:tcPr>
          <w:p>
            <w:r>
              <w:rPr>
                <w:color w:val="FF0000"/>
                <w:highlight w:val="green"/>
              </w:rPr>
              <w:t>Table 2G</w:t>
            </w:r>
          </w:p>
        </w:tc>
        <w:tc>
          <w:tcPr>
            <w:tcW w:w="2400" w:type="dxa"/>
          </w:tcPr>
          <w:p>
            <w:r>
              <w:rPr>
                <w:color w:val="FF0000"/>
                <w:highlight w:val="green"/>
              </w:rPr>
              <w:t>MIC, µg/mL</w:t>
            </w:r>
          </w:p>
        </w:tc>
        <w:tc>
          <w:tcPr>
            <w:tcW w:w="2400" w:type="dxa"/>
          </w:tcPr>
          <w:p>
            <w:r>
              <w:rPr>
                <w:color w:val="FF0000"/>
                <w:highlight w:val="green"/>
              </w:rPr>
              <w:t>S ≤0.5; I 1; R ≥2</w:t>
            </w:r>
          </w:p>
        </w:tc>
        <w:tc>
          <w:tcPr>
            <w:tcW w:w="2400" w:type="dxa"/>
          </w:tcPr>
          <w:p>
            <w:r>
              <w:t>32nd (2022); 33rd (2023); 34th (2024)</w:t>
            </w:r>
          </w:p>
        </w:tc>
        <w:tc>
          <w:tcPr>
            <w:tcW w:w="2400" w:type="dxa"/>
          </w:tcPr>
          <w:p>
            <w:r>
              <w:rPr>
                <w:color w:val="FF0000"/>
                <w:highlight w:val="green"/>
              </w:rPr>
              <w:t>Parenteral criterion; oral cefuroxime criterion was not used.</w:t>
            </w:r>
          </w:p>
        </w:tc>
      </w:tr>
      <w:tr>
        <w:tc>
          <w:tcPr>
            <w:tcW w:w="2400" w:type="dxa"/>
          </w:tcPr>
          <w:p>
            <w:r>
              <w:t>Cefotaxime (non-meningitis)</w:t>
            </w:r>
          </w:p>
        </w:tc>
        <w:tc>
          <w:tcPr>
            <w:tcW w:w="2400" w:type="dxa"/>
          </w:tcPr>
          <w:p>
            <w:r>
              <w:rPr>
                <w:color w:val="FF0000"/>
                <w:highlight w:val="green"/>
              </w:rPr>
              <w:t>Table 2G</w:t>
            </w:r>
          </w:p>
        </w:tc>
        <w:tc>
          <w:tcPr>
            <w:tcW w:w="2400" w:type="dxa"/>
          </w:tcPr>
          <w:p>
            <w:r>
              <w:t>MIC, µg/mL</w:t>
            </w:r>
          </w:p>
        </w:tc>
        <w:tc>
          <w:tcPr>
            <w:tcW w:w="2400" w:type="dxa"/>
          </w:tcPr>
          <w:p>
            <w:r>
              <w:t>S ≤1; I 2; R ≥4</w:t>
            </w:r>
          </w:p>
        </w:tc>
        <w:tc>
          <w:tcPr>
            <w:tcW w:w="2400" w:type="dxa"/>
          </w:tcPr>
          <w:p>
            <w:r>
              <w:t>32nd (2022); 33rd (2023); 34th (2024)</w:t>
            </w:r>
          </w:p>
        </w:tc>
        <w:tc>
          <w:tcPr>
            <w:tcW w:w="2400" w:type="dxa"/>
          </w:tcPr>
          <w:p>
            <w:r>
              <w:t>Confirmed by gradient diffusion when oxacillin screen positive</w:t>
            </w:r>
          </w:p>
        </w:tc>
      </w:tr>
      <w:tr>
        <w:tc>
          <w:tcPr>
            <w:tcW w:w="2400" w:type="dxa"/>
          </w:tcPr>
          <w:p>
            <w:r>
              <w:t>Ceftriaxone (non-meningitis)</w:t>
            </w:r>
          </w:p>
        </w:tc>
        <w:tc>
          <w:tcPr>
            <w:tcW w:w="2400" w:type="dxa"/>
          </w:tcPr>
          <w:p>
            <w:r>
              <w:rPr>
                <w:color w:val="FF0000"/>
                <w:highlight w:val="green"/>
              </w:rPr>
              <w:t>Table 2G</w:t>
            </w:r>
          </w:p>
        </w:tc>
        <w:tc>
          <w:tcPr>
            <w:tcW w:w="2400" w:type="dxa"/>
          </w:tcPr>
          <w:p>
            <w:r>
              <w:t>MIC, µg/mL</w:t>
            </w:r>
          </w:p>
        </w:tc>
        <w:tc>
          <w:tcPr>
            <w:tcW w:w="2400" w:type="dxa"/>
          </w:tcPr>
          <w:p>
            <w:r>
              <w:t>S ≤1; I 2; R ≥4</w:t>
            </w:r>
          </w:p>
        </w:tc>
        <w:tc>
          <w:tcPr>
            <w:tcW w:w="2400" w:type="dxa"/>
          </w:tcPr>
          <w:p>
            <w:r>
              <w:t>32nd (2022); 33rd (2023); 34th (2024)</w:t>
            </w:r>
          </w:p>
        </w:tc>
        <w:tc>
          <w:tcPr>
            <w:tcW w:w="2400" w:type="dxa"/>
          </w:tcPr>
          <w:p>
            <w:r>
              <w:t>Confirmed by gradient diffusion when oxacillin screen positive</w:t>
            </w:r>
          </w:p>
        </w:tc>
      </w:tr>
      <w:tr>
        <w:tc>
          <w:tcPr>
            <w:tcW w:w="2400" w:type="dxa"/>
          </w:tcPr>
          <w:p>
            <w:r>
              <w:t>Cefepime</w:t>
            </w:r>
            <w:r>
              <w:rPr>
                <w:color w:val="FF0000"/>
                <w:highlight w:val="green"/>
              </w:rPr>
              <w:t xml:space="preserve"> (non-meningitis)</w:t>
            </w:r>
          </w:p>
        </w:tc>
        <w:tc>
          <w:tcPr>
            <w:tcW w:w="2400" w:type="dxa"/>
          </w:tcPr>
          <w:p>
            <w:r>
              <w:rPr>
                <w:color w:val="FF0000"/>
                <w:highlight w:val="green"/>
              </w:rPr>
              <w:t>Table 2G</w:t>
            </w:r>
          </w:p>
        </w:tc>
        <w:tc>
          <w:tcPr>
            <w:tcW w:w="2400" w:type="dxa"/>
          </w:tcPr>
          <w:p>
            <w:r>
              <w:rPr>
                <w:color w:val="FF0000"/>
                <w:highlight w:val="green"/>
              </w:rPr>
              <w:t>MIC, µg/mL</w:t>
            </w:r>
          </w:p>
        </w:tc>
        <w:tc>
          <w:tcPr>
            <w:tcW w:w="2400" w:type="dxa"/>
          </w:tcPr>
          <w:p>
            <w:r>
              <w:rPr>
                <w:color w:val="FF0000"/>
                <w:highlight w:val="green"/>
              </w:rPr>
              <w:t>S ≤1; I 2; R ≥4</w:t>
            </w:r>
          </w:p>
        </w:tc>
        <w:tc>
          <w:tcPr>
            <w:tcW w:w="2400" w:type="dxa"/>
          </w:tcPr>
          <w:p>
            <w:r>
              <w:t>32nd (2022); 33rd (2023); 34th (2024)</w:t>
            </w:r>
          </w:p>
        </w:tc>
        <w:tc>
          <w:tcPr>
            <w:tcW w:w="2400" w:type="dxa"/>
          </w:tcPr>
          <w:p>
            <w:r>
              <w:rPr>
                <w:color w:val="FF0000"/>
                <w:highlight w:val="green"/>
              </w:rPr>
              <w:t>Non-meningitis criterion; no cerebrospinal-fluid isolate was included.</w:t>
            </w:r>
          </w:p>
        </w:tc>
      </w:tr>
      <w:tr>
        <w:tc>
          <w:tcPr>
            <w:tcW w:w="2400" w:type="dxa"/>
          </w:tcPr>
          <w:p>
            <w:r>
              <w:t>Erythromycin</w:t>
            </w:r>
          </w:p>
        </w:tc>
        <w:tc>
          <w:tcPr>
            <w:tcW w:w="2400" w:type="dxa"/>
          </w:tcPr>
          <w:p>
            <w:r>
              <w:rPr>
                <w:color w:val="FF0000"/>
                <w:highlight w:val="green"/>
              </w:rPr>
              <w:t>Table 2G</w:t>
            </w:r>
          </w:p>
        </w:tc>
        <w:tc>
          <w:tcPr>
            <w:tcW w:w="2400" w:type="dxa"/>
          </w:tcPr>
          <w:p>
            <w:r>
              <w:rPr>
                <w:color w:val="FF0000"/>
                <w:highlight w:val="green"/>
              </w:rPr>
              <w:t>MIC, µg/mL</w:t>
            </w:r>
          </w:p>
        </w:tc>
        <w:tc>
          <w:tcPr>
            <w:tcW w:w="2400" w:type="dxa"/>
          </w:tcPr>
          <w:p>
            <w:r>
              <w:rPr>
                <w:color w:val="FF0000"/>
                <w:highlight w:val="green"/>
              </w:rPr>
              <w:t>S ≤0.25; I 0.5; R ≥1</w:t>
            </w:r>
          </w:p>
        </w:tc>
        <w:tc>
          <w:tcPr>
            <w:tcW w:w="2400" w:type="dxa"/>
          </w:tcPr>
          <w:p>
            <w:r>
              <w:t>32nd (2022); 33rd (2023); 34th (2024)</w:t>
            </w:r>
          </w:p>
        </w:tc>
        <w:tc>
          <w:tcPr>
            <w:tcW w:w="2400" w:type="dxa"/>
          </w:tcPr>
          <w:p>
            <w:r>
              <w:rPr>
                <w:color w:val="FF0000"/>
                <w:highlight w:val="green"/>
              </w:rPr>
              <w:t>Organism-specific MIC criterion in CLSI M100 Table 2G.</w:t>
            </w:r>
          </w:p>
        </w:tc>
      </w:tr>
      <w:tr>
        <w:tc>
          <w:tcPr>
            <w:tcW w:w="2400" w:type="dxa"/>
          </w:tcPr>
          <w:p>
            <w:r>
              <w:t>Clindamycin</w:t>
            </w:r>
          </w:p>
        </w:tc>
        <w:tc>
          <w:tcPr>
            <w:tcW w:w="2400" w:type="dxa"/>
          </w:tcPr>
          <w:p>
            <w:r>
              <w:rPr>
                <w:color w:val="FF0000"/>
                <w:highlight w:val="green"/>
              </w:rPr>
              <w:t>Table 2G</w:t>
            </w:r>
          </w:p>
        </w:tc>
        <w:tc>
          <w:tcPr>
            <w:tcW w:w="2400" w:type="dxa"/>
          </w:tcPr>
          <w:p>
            <w:r>
              <w:rPr>
                <w:color w:val="FF0000"/>
                <w:highlight w:val="green"/>
              </w:rPr>
              <w:t>MIC, µg/mL</w:t>
            </w:r>
          </w:p>
        </w:tc>
        <w:tc>
          <w:tcPr>
            <w:tcW w:w="2400" w:type="dxa"/>
          </w:tcPr>
          <w:p>
            <w:r>
              <w:rPr>
                <w:color w:val="FF0000"/>
                <w:highlight w:val="green"/>
              </w:rPr>
              <w:t>S ≤0.25; I 0.5; R ≥1</w:t>
            </w:r>
          </w:p>
        </w:tc>
        <w:tc>
          <w:tcPr>
            <w:tcW w:w="2400" w:type="dxa"/>
          </w:tcPr>
          <w:p>
            <w:r>
              <w:t>32nd (2022); 33rd (2023); 34th (2024)</w:t>
            </w:r>
          </w:p>
        </w:tc>
        <w:tc>
          <w:tcPr>
            <w:tcW w:w="2400" w:type="dxa"/>
          </w:tcPr>
          <w:p>
            <w:r>
              <w:rPr>
                <w:color w:val="FF0000"/>
                <w:highlight w:val="green"/>
              </w:rPr>
              <w:t>Organism-specific MIC criterion in CLSI M100 Table 2G.</w:t>
            </w:r>
          </w:p>
        </w:tc>
      </w:tr>
      <w:tr>
        <w:tc>
          <w:tcPr>
            <w:tcW w:w="2400" w:type="dxa"/>
          </w:tcPr>
          <w:p>
            <w:r>
              <w:t>Chloramphenicol</w:t>
            </w:r>
          </w:p>
        </w:tc>
        <w:tc>
          <w:tcPr>
            <w:tcW w:w="2400" w:type="dxa"/>
          </w:tcPr>
          <w:p>
            <w:r>
              <w:rPr>
                <w:color w:val="FF0000"/>
                <w:highlight w:val="green"/>
              </w:rPr>
              <w:t>Table 2G</w:t>
            </w:r>
          </w:p>
        </w:tc>
        <w:tc>
          <w:tcPr>
            <w:tcW w:w="2400" w:type="dxa"/>
          </w:tcPr>
          <w:p>
            <w:r>
              <w:rPr>
                <w:color w:val="FF0000"/>
                <w:highlight w:val="green"/>
              </w:rPr>
              <w:t>MIC, µg/mL</w:t>
            </w:r>
          </w:p>
        </w:tc>
        <w:tc>
          <w:tcPr>
            <w:tcW w:w="2400" w:type="dxa"/>
          </w:tcPr>
          <w:p>
            <w:r>
              <w:rPr>
                <w:color w:val="FF0000"/>
                <w:highlight w:val="green"/>
              </w:rPr>
              <w:t>S ≤4; I —; R ≥8</w:t>
            </w:r>
          </w:p>
        </w:tc>
        <w:tc>
          <w:tcPr>
            <w:tcW w:w="2400" w:type="dxa"/>
          </w:tcPr>
          <w:p>
            <w:r>
              <w:t>32nd (2022); 33rd (2023); 34th (2024)</w:t>
            </w:r>
          </w:p>
        </w:tc>
        <w:tc>
          <w:tcPr>
            <w:tcW w:w="2400" w:type="dxa"/>
          </w:tcPr>
          <w:p>
            <w:r>
              <w:rPr>
                <w:color w:val="FF0000"/>
                <w:highlight w:val="green"/>
              </w:rPr>
              <w:t>No intermediate MIC category.</w:t>
            </w:r>
          </w:p>
        </w:tc>
      </w:tr>
      <w:tr>
        <w:tc>
          <w:tcPr>
            <w:tcW w:w="2400" w:type="dxa"/>
          </w:tcPr>
          <w:p>
            <w:r>
              <w:t>Tetracycline</w:t>
            </w:r>
          </w:p>
        </w:tc>
        <w:tc>
          <w:tcPr>
            <w:tcW w:w="2400" w:type="dxa"/>
          </w:tcPr>
          <w:p>
            <w:r>
              <w:rPr>
                <w:color w:val="FF0000"/>
                <w:highlight w:val="green"/>
              </w:rPr>
              <w:t>Table 2G</w:t>
            </w:r>
          </w:p>
        </w:tc>
        <w:tc>
          <w:tcPr>
            <w:tcW w:w="2400" w:type="dxa"/>
          </w:tcPr>
          <w:p>
            <w:r>
              <w:rPr>
                <w:color w:val="FF0000"/>
                <w:highlight w:val="green"/>
              </w:rPr>
              <w:t>MIC, µg/mL</w:t>
            </w:r>
          </w:p>
        </w:tc>
        <w:tc>
          <w:tcPr>
            <w:tcW w:w="2400" w:type="dxa"/>
          </w:tcPr>
          <w:p>
            <w:r>
              <w:rPr>
                <w:color w:val="FF0000"/>
                <w:highlight w:val="green"/>
              </w:rPr>
              <w:t>S ≤1; I 2; R ≥4</w:t>
            </w:r>
          </w:p>
        </w:tc>
        <w:tc>
          <w:tcPr>
            <w:tcW w:w="2400" w:type="dxa"/>
          </w:tcPr>
          <w:p>
            <w:r>
              <w:t>32nd (2022); 33rd (2023); 34th (2024)</w:t>
            </w:r>
          </w:p>
        </w:tc>
        <w:tc>
          <w:tcPr>
            <w:tcW w:w="2400" w:type="dxa"/>
          </w:tcPr>
          <w:p>
            <w:r>
              <w:rPr>
                <w:color w:val="FF0000"/>
                <w:highlight w:val="green"/>
              </w:rPr>
              <w:t>Organism-specific MIC criterion in CLSI M100 Table 2G.</w:t>
            </w:r>
          </w:p>
        </w:tc>
      </w:tr>
      <w:tr>
        <w:tc>
          <w:tcPr>
            <w:tcW w:w="2400" w:type="dxa"/>
          </w:tcPr>
          <w:p>
            <w:r>
              <w:t>Vancomycin</w:t>
            </w:r>
          </w:p>
        </w:tc>
        <w:tc>
          <w:tcPr>
            <w:tcW w:w="2400" w:type="dxa"/>
          </w:tcPr>
          <w:p>
            <w:r>
              <w:rPr>
                <w:color w:val="FF0000"/>
                <w:highlight w:val="green"/>
              </w:rPr>
              <w:t>Table 2G</w:t>
            </w:r>
          </w:p>
        </w:tc>
        <w:tc>
          <w:tcPr>
            <w:tcW w:w="2400" w:type="dxa"/>
          </w:tcPr>
          <w:p>
            <w:r>
              <w:rPr>
                <w:color w:val="FF0000"/>
                <w:highlight w:val="green"/>
              </w:rPr>
              <w:t>MIC, µg/mL</w:t>
            </w:r>
          </w:p>
        </w:tc>
        <w:tc>
          <w:tcPr>
            <w:tcW w:w="2400" w:type="dxa"/>
          </w:tcPr>
          <w:p>
            <w:r>
              <w:rPr>
                <w:color w:val="FF0000"/>
                <w:highlight w:val="green"/>
              </w:rPr>
              <w:t>S ≤1; I —; R —</w:t>
            </w:r>
          </w:p>
        </w:tc>
        <w:tc>
          <w:tcPr>
            <w:tcW w:w="2400" w:type="dxa"/>
          </w:tcPr>
          <w:p>
            <w:r>
              <w:t>32nd (2022); 33rd (2023); 34th (2024)</w:t>
            </w:r>
          </w:p>
        </w:tc>
        <w:tc>
          <w:tcPr>
            <w:tcW w:w="2400" w:type="dxa"/>
          </w:tcPr>
          <w:p>
            <w:r>
              <w:rPr>
                <w:color w:val="FF0000"/>
                <w:highlight w:val="green"/>
              </w:rPr>
              <w:t>Susceptible-only MIC breakpoint; no CLSI intermediate or resistant MIC category.</w:t>
            </w:r>
          </w:p>
        </w:tc>
      </w:tr>
      <w:tr>
        <w:tc>
          <w:tcPr>
            <w:tcW w:w="2400" w:type="dxa"/>
          </w:tcPr>
          <w:p>
            <w:r>
              <w:t>Oxacillin 1 µg (screen only)</w:t>
            </w:r>
          </w:p>
        </w:tc>
        <w:tc>
          <w:tcPr>
            <w:tcW w:w="2400" w:type="dxa"/>
          </w:tcPr>
          <w:p>
            <w:r>
              <w:rPr>
                <w:color w:val="FF0000"/>
                <w:highlight w:val="green"/>
              </w:rPr>
              <w:t>Table 2G</w:t>
            </w:r>
          </w:p>
        </w:tc>
        <w:tc>
          <w:tcPr>
            <w:tcW w:w="2400" w:type="dxa"/>
          </w:tcPr>
          <w:p>
            <w:r>
              <w:t>Zone diameter, mm</w:t>
            </w:r>
          </w:p>
        </w:tc>
        <w:tc>
          <w:tcPr>
            <w:tcW w:w="2400" w:type="dxa"/>
          </w:tcPr>
          <w:p>
            <w:r>
              <w:t>≥20 = screen-negative; &lt;20 = screen-positive</w:t>
            </w:r>
          </w:p>
        </w:tc>
        <w:tc>
          <w:tcPr>
            <w:tcW w:w="2400" w:type="dxa"/>
          </w:tcPr>
          <w:p>
            <w:r>
              <w:t>32nd (2022); 33rd (2023); 34th (2024)</w:t>
            </w:r>
          </w:p>
        </w:tc>
        <w:tc>
          <w:tcPr>
            <w:tcW w:w="2400" w:type="dxa"/>
          </w:tcPr>
          <w:p>
            <w:r>
              <w:t>Not a therapeutic susceptibility category</w:t>
            </w:r>
          </w:p>
        </w:tc>
      </w:tr>
    </w:tbl>
    <w:p>
      <w:pPr>
        <w:rPr>
          <w:sz w:val="18"/>
        </w:rPr>
      </w:pPr>
      <w:r>
        <w:rPr>
          <w:b/>
          <w:sz w:val="18"/>
        </w:rPr>
        <w:t>Notes.</w:t>
      </w:r>
      <w:r>
        <w:rPr>
          <w:b/>
          <w:color w:val="FF0000"/>
          <w:sz w:val="18"/>
          <w:highlight w:val="green"/>
        </w:rPr>
        <w:t xml:space="preserve"> Criteria are</w:t>
      </w:r>
      <w:r>
        <w:rPr>
          <w:sz w:val="18"/>
        </w:rPr>
        <w:t xml:space="preserve"> from CLSI M100</w:t>
      </w:r>
      <w:r>
        <w:rPr>
          <w:color w:val="FF0000"/>
          <w:sz w:val="18"/>
          <w:highlight w:val="green"/>
        </w:rPr>
        <w:t xml:space="preserve"> Table 2G for Streptococcus pneumoniae in</w:t>
      </w:r>
      <w:r>
        <w:rPr>
          <w:sz w:val="18"/>
        </w:rPr>
        <w:t xml:space="preserve"> the</w:t>
      </w:r>
      <w:r>
        <w:rPr>
          <w:color w:val="FF0000"/>
          <w:sz w:val="18"/>
          <w:highlight w:val="green"/>
        </w:rPr>
        <w:t xml:space="preserve"> edition current for each study year (32nd edition, 2022; 33rd edition, 2023; 34th edition, 2024).</w:t>
      </w:r>
      <w:r>
        <w:rPr>
          <w:sz w:val="18"/>
        </w:rPr>
        <w:t xml:space="preserve"> The penicillin,</w:t>
      </w:r>
      <w:r>
        <w:rPr>
          <w:color w:val="FF0000"/>
          <w:sz w:val="18"/>
          <w:highlight w:val="green"/>
        </w:rPr>
        <w:t xml:space="preserve"> cefotaxime, ceftriaxone,</w:t>
      </w:r>
      <w:r>
        <w:rPr>
          <w:sz w:val="18"/>
        </w:rPr>
        <w:t xml:space="preserve"> and</w:t>
      </w:r>
      <w:r>
        <w:rPr>
          <w:color w:val="FF0000"/>
          <w:sz w:val="18"/>
          <w:highlight w:val="green"/>
        </w:rPr>
        <w:t xml:space="preserve"> cefepime</w:t>
      </w:r>
      <w:r>
        <w:rPr>
          <w:sz w:val="18"/>
        </w:rPr>
        <w:t xml:space="preserve"> criteria shown are parenteral non-meningitis criteria</w:t>
      </w:r>
      <w:r>
        <w:rPr>
          <w:color w:val="FF0000"/>
          <w:sz w:val="18"/>
          <w:highlight w:val="green"/>
        </w:rPr>
        <w:t xml:space="preserve"> because</w:t>
      </w:r>
      <w:r>
        <w:rPr>
          <w:sz w:val="18"/>
        </w:rPr>
        <w:t xml:space="preserve"> no child had meningitis and no cerebrospinal-fluid isolate was</w:t>
      </w:r>
      <w:r>
        <w:rPr>
          <w:color w:val="FF0000"/>
          <w:sz w:val="18"/>
          <w:highlight w:val="green"/>
        </w:rPr>
        <w:t xml:space="preserve"> included; the cefuroxime criterion is the parenteral criterion. Oral penicillin V</w:t>
      </w:r>
      <w:r>
        <w:rPr>
          <w:sz w:val="18"/>
        </w:rPr>
        <w:t xml:space="preserve"> and oral</w:t>
      </w:r>
      <w:r>
        <w:rPr>
          <w:color w:val="FF0000"/>
          <w:sz w:val="18"/>
          <w:highlight w:val="green"/>
        </w:rPr>
        <w:t xml:space="preserve"> cefuroxime</w:t>
      </w:r>
      <w:r>
        <w:rPr>
          <w:sz w:val="18"/>
        </w:rPr>
        <w:t xml:space="preserve"> criteria were not</w:t>
      </w:r>
      <w:r>
        <w:rPr>
          <w:color w:val="FF0000"/>
          <w:sz w:val="18"/>
          <w:highlight w:val="green"/>
        </w:rPr>
        <w:t xml:space="preserve"> applied. Ampicillin is shown only</w:t>
      </w:r>
      <w:r>
        <w:rPr>
          <w:sz w:val="18"/>
        </w:rPr>
        <w:t xml:space="preserve"> to</w:t>
      </w:r>
      <w:r>
        <w:rPr>
          <w:color w:val="FF0000"/>
          <w:sz w:val="18"/>
          <w:highlight w:val="green"/>
        </w:rPr>
        <w:t xml:space="preserve"> document the laboratory surrogate interpretation and has no independent organism-specific S/I/R breakpoint for S. pneumoniae. The oxacillin 1 µg disk is</w:t>
      </w:r>
      <w:r>
        <w:rPr>
          <w:sz w:val="18"/>
        </w:rPr>
        <w:t xml:space="preserve"> a</w:t>
      </w:r>
      <w:r>
        <w:rPr>
          <w:color w:val="FF0000"/>
          <w:sz w:val="18"/>
          <w:highlight w:val="green"/>
        </w:rPr>
        <w:t xml:space="preserve"> screening test rather than a therapeutic susceptibility category. Numeric MIC values were not retained in</w:t>
      </w:r>
      <w:r>
        <w:rPr>
          <w:sz w:val="18"/>
        </w:rPr>
        <w:t xml:space="preserve"> the</w:t>
      </w:r>
      <w:r>
        <w:rPr>
          <w:color w:val="FF0000"/>
          <w:sz w:val="18"/>
          <w:highlight w:val="green"/>
        </w:rPr>
        <w:t xml:space="preserve"> study database; this table documents</w:t>
      </w:r>
      <w:r>
        <w:rPr>
          <w:sz w:val="18"/>
        </w:rPr>
        <w:t xml:space="preserve"> the</w:t>
      </w:r>
      <w:r>
        <w:rPr>
          <w:color w:val="FF0000"/>
          <w:sz w:val="18"/>
          <w:highlight w:val="green"/>
        </w:rPr>
        <w:t xml:space="preserve"> contemporaneous interpretive criteria used for</w:t>
      </w:r>
      <w:r>
        <w:rPr>
          <w:sz w:val="18"/>
        </w:rPr>
        <w:t xml:space="preserve"> the</w:t>
      </w:r>
      <w:r>
        <w:rPr>
          <w:color w:val="FF0000"/>
          <w:sz w:val="18"/>
          <w:highlight w:val="green"/>
        </w:rPr>
        <w:t xml:space="preserve"> categorical legacy reports.</w:t>
      </w:r>
    </w:p>
    <w:p>
      <w:pPr>
        <w:rPr>
          <w:sz w:val="18"/>
        </w:rPr>
      </w:pPr>
      <w:r>
        <w:rPr>
          <w:sz w:val="18"/>
        </w:rPr>
        <w:br w:type="page"/>
      </w:r>
    </w:p>
    <w:p>
      <w:pPr>
        <w:spacing w:after="40"/>
        <w:rPr>
          <w:sz w:val="22"/>
        </w:rPr>
      </w:pPr>
      <w:r>
        <w:rPr>
          <w:b/>
          <w:sz w:val="22"/>
        </w:rPr>
        <w:lastRenderedPageBreak/>
        <w:t>Supplementary Table S5. STROBE-AMS checklist</w:t>
      </w:r>
    </w:p>
    <w:p>
      <w:r>
        <w:t>Items 1–22 are the STROBE checklist for cross-sectional studies (von Elm et al., Lancet 2007;370:1453–7). Decimal-numbered items are the antimicrobial-stewardship extension (Tacconelli et al., BMJ Open 2016;6:e010134). Recommendations are summarized in the authors’ own words; the authoritative wording is in the source publications. Page numbers refer to the revised manuscript. This study is a prevalence and susceptibility survey, not an analysis of antimicrobial consumption against resistance; extension items addressing consumption metrics are therefore marked not applicable, with the reason given.</w:t>
      </w:r>
    </w:p>
    <w:tbl>
      <w:tblPr>
        <w:tblStyle w:val="TableGrid"/>
        <w:tblW w:w="0" w:type="auto"/>
        <w:jc w:val="center"/>
        <w:tblLook w:val="04A0" w:firstRow="1" w:lastRow="0" w:firstColumn="1" w:lastColumn="0" w:noHBand="0" w:noVBand="1"/>
      </w:tblPr>
      <w:tblGrid>
        <w:gridCol w:w="792"/>
        <w:gridCol w:w="5616"/>
        <w:gridCol w:w="3168"/>
        <w:gridCol w:w="4536"/>
      </w:tblGrid>
      <w:tr>
        <w:trPr>
          <w:cantSplit/>
          <w:tblHeader/>
          <w:jc w:val="center"/>
        </w:trPr>
        <w:tc>
          <w:tcPr>
            <w:tcW w:w="792" w:type="dxa"/>
          </w:tcPr>
          <w:p>
            <w:pPr>
              <w:spacing w:after="20"/>
            </w:pPr>
            <w:r>
              <w:rPr>
                <w:b/>
                <w:sz w:val="17"/>
              </w:rPr>
              <w:t>Item</w:t>
            </w:r>
          </w:p>
        </w:tc>
        <w:tc>
          <w:tcPr>
            <w:tcW w:w="5616" w:type="dxa"/>
          </w:tcPr>
          <w:p>
            <w:pPr>
              <w:spacing w:after="20"/>
            </w:pPr>
            <w:r>
              <w:rPr>
                <w:b/>
                <w:sz w:val="17"/>
              </w:rPr>
              <w:t>Recommendation (summarized)</w:t>
            </w:r>
          </w:p>
        </w:tc>
        <w:tc>
          <w:tcPr>
            <w:tcW w:w="3168" w:type="dxa"/>
          </w:tcPr>
          <w:p>
            <w:pPr>
              <w:spacing w:after="20"/>
            </w:pPr>
            <w:r>
              <w:rPr>
                <w:b/>
                <w:sz w:val="17"/>
              </w:rPr>
              <w:t>Reported on page / section</w:t>
            </w:r>
          </w:p>
        </w:tc>
        <w:tc>
          <w:tcPr>
            <w:tcW w:w="4536" w:type="dxa"/>
          </w:tcPr>
          <w:p>
            <w:pPr>
              <w:spacing w:after="20"/>
            </w:pPr>
            <w:r>
              <w:rPr>
                <w:b/>
                <w:sz w:val="17"/>
              </w:rPr>
              <w:t>Notes</w:t>
            </w:r>
          </w:p>
        </w:tc>
      </w:tr>
      <w:tr>
        <w:trPr>
          <w:cantSplit/>
          <w:jc w:val="center"/>
        </w:trPr>
        <w:tc>
          <w:tcPr>
            <w:tcW w:w="14112" w:type="dxa"/>
            <w:gridSpan w:val="4"/>
          </w:tcPr>
          <w:p>
            <w:pPr>
              <w:spacing w:after="20"/>
            </w:pPr>
            <w:r>
              <w:rPr>
                <w:b/>
                <w:sz w:val="17"/>
              </w:rPr>
              <w:t>TITLE AND ABSTRACT</w:t>
            </w:r>
          </w:p>
        </w:tc>
      </w:tr>
      <w:tr>
        <w:trPr>
          <w:cantSplit/>
          <w:jc w:val="center"/>
        </w:trPr>
        <w:tc>
          <w:tcPr>
            <w:tcW w:w="792" w:type="dxa"/>
          </w:tcPr>
          <w:p>
            <w:pPr>
              <w:spacing w:after="20"/>
            </w:pPr>
            <w:r>
              <w:rPr>
                <w:b/>
              </w:rPr>
              <w:t>1(a)</w:t>
            </w:r>
          </w:p>
        </w:tc>
        <w:tc>
          <w:tcPr>
            <w:tcW w:w="5616" w:type="dxa"/>
          </w:tcPr>
          <w:p>
            <w:pPr>
              <w:spacing w:after="20"/>
            </w:pPr>
            <w:r>
              <w:t>State the study design in the title or the abstract using a standard term.</w:t>
            </w:r>
          </w:p>
        </w:tc>
        <w:tc>
          <w:tcPr>
            <w:tcW w:w="3168" w:type="dxa"/>
          </w:tcPr>
          <w:p>
            <w:pPr>
              <w:spacing w:after="20"/>
            </w:pPr>
            <w:r>
              <w:t>p. 1, Title; p. 1, Abstract</w:t>
            </w:r>
          </w:p>
        </w:tc>
        <w:tc>
          <w:tcPr>
            <w:tcW w:w="4536" w:type="dxa"/>
          </w:tcPr>
          <w:p>
            <w:pPr>
              <w:spacing w:after="20"/>
            </w:pPr>
            <w:r>
              <w:t>The title ends with “A Hospital-Based Cross-Sectional Study”.</w:t>
            </w:r>
          </w:p>
        </w:tc>
      </w:tr>
      <w:tr>
        <w:trPr>
          <w:cantSplit/>
          <w:jc w:val="center"/>
        </w:trPr>
        <w:tc>
          <w:tcPr>
            <w:tcW w:w="792" w:type="dxa"/>
          </w:tcPr>
          <w:p>
            <w:pPr>
              <w:spacing w:after="20"/>
            </w:pPr>
            <w:r>
              <w:rPr>
                <w:b/>
              </w:rPr>
              <w:t>1(b)</w:t>
            </w:r>
          </w:p>
        </w:tc>
        <w:tc>
          <w:tcPr>
            <w:tcW w:w="5616" w:type="dxa"/>
          </w:tcPr>
          <w:p>
            <w:pPr>
              <w:spacing w:after="20"/>
            </w:pPr>
            <w:r>
              <w:t>Give a balanced, informative summary of what was done and what was found.</w:t>
            </w:r>
          </w:p>
        </w:tc>
        <w:tc>
          <w:tcPr>
            <w:tcW w:w="3168" w:type="dxa"/>
          </w:tcPr>
          <w:p>
            <w:pPr>
              <w:spacing w:after="20"/>
            </w:pPr>
            <w:r>
              <w:t>p. 1–2, Abstract</w:t>
            </w:r>
          </w:p>
        </w:tc>
        <w:tc>
          <w:tcPr>
            <w:tcW w:w="4536" w:type="dxa"/>
          </w:tcPr>
          <w:p>
            <w:pPr>
              <w:spacing w:after="20"/>
            </w:pPr>
            <w:r>
              <w:t>Structured abstract of 249 words. Cephalosporin results are reported without comparative ranking because agents were tested in different subsets.</w:t>
            </w:r>
          </w:p>
        </w:tc>
      </w:tr>
      <w:tr>
        <w:trPr>
          <w:cantSplit/>
          <w:jc w:val="center"/>
        </w:trPr>
        <w:tc>
          <w:tcPr>
            <w:tcW w:w="14112" w:type="dxa"/>
            <w:gridSpan w:val="4"/>
          </w:tcPr>
          <w:p>
            <w:pPr>
              <w:spacing w:after="20"/>
            </w:pPr>
            <w:r>
              <w:rPr>
                <w:b/>
                <w:sz w:val="17"/>
              </w:rPr>
              <w:t>INTRODUCTION</w:t>
            </w:r>
          </w:p>
        </w:tc>
      </w:tr>
      <w:tr>
        <w:trPr>
          <w:cantSplit/>
          <w:jc w:val="center"/>
        </w:trPr>
        <w:tc>
          <w:tcPr>
            <w:tcW w:w="792" w:type="dxa"/>
          </w:tcPr>
          <w:p>
            <w:pPr>
              <w:spacing w:after="20"/>
            </w:pPr>
            <w:r>
              <w:rPr>
                <w:b/>
              </w:rPr>
              <w:t>2</w:t>
            </w:r>
          </w:p>
        </w:tc>
        <w:tc>
          <w:tcPr>
            <w:tcW w:w="5616" w:type="dxa"/>
          </w:tcPr>
          <w:p>
            <w:pPr>
              <w:spacing w:after="20"/>
            </w:pPr>
            <w:r>
              <w:t>Explain the scientific background and rationale for the investigation.</w:t>
            </w:r>
          </w:p>
        </w:tc>
        <w:tc>
          <w:tcPr>
            <w:tcW w:w="3168" w:type="dxa"/>
          </w:tcPr>
          <w:p>
            <w:pPr>
              <w:spacing w:after="20"/>
            </w:pPr>
            <w:r>
              <w:t>p. 3, Introduction, paras 1–3</w:t>
            </w:r>
          </w:p>
        </w:tc>
        <w:tc>
          <w:tcPr>
            <w:tcW w:w="4536" w:type="dxa"/>
          </w:tcPr>
          <w:p>
            <w:pPr>
              <w:spacing w:after="20"/>
            </w:pPr>
          </w:p>
        </w:tc>
      </w:tr>
      <w:tr>
        <w:trPr>
          <w:cantSplit/>
          <w:jc w:val="center"/>
        </w:trPr>
        <w:tc>
          <w:tcPr>
            <w:tcW w:w="792" w:type="dxa"/>
          </w:tcPr>
          <w:p>
            <w:pPr>
              <w:spacing w:after="20"/>
            </w:pPr>
            <w:r>
              <w:rPr>
                <w:b/>
              </w:rPr>
              <w:t>3</w:t>
            </w:r>
          </w:p>
        </w:tc>
        <w:tc>
          <w:tcPr>
            <w:tcW w:w="5616" w:type="dxa"/>
          </w:tcPr>
          <w:p>
            <w:pPr>
              <w:spacing w:after="20"/>
            </w:pPr>
            <w:r>
              <w:t>State specific objectives, including any prespecified hypotheses.</w:t>
            </w:r>
          </w:p>
        </w:tc>
        <w:tc>
          <w:tcPr>
            <w:tcW w:w="3168" w:type="dxa"/>
          </w:tcPr>
          <w:p>
            <w:pPr>
              <w:spacing w:after="20"/>
            </w:pPr>
            <w:r>
              <w:t>p. 3, Introduction, para 4</w:t>
            </w:r>
          </w:p>
        </w:tc>
        <w:tc>
          <w:tcPr>
            <w:tcW w:w="4536" w:type="dxa"/>
          </w:tcPr>
          <w:p>
            <w:pPr>
              <w:spacing w:after="20"/>
            </w:pPr>
            <w:r>
              <w:t>Descriptive objectives; the analysis of factors associated with MDR was exploratory and is labelled as such.</w:t>
            </w:r>
          </w:p>
        </w:tc>
      </w:tr>
      <w:tr>
        <w:trPr>
          <w:cantSplit/>
          <w:jc w:val="center"/>
        </w:trPr>
        <w:tc>
          <w:tcPr>
            <w:tcW w:w="14112" w:type="dxa"/>
            <w:gridSpan w:val="4"/>
          </w:tcPr>
          <w:p>
            <w:pPr>
              <w:spacing w:after="20"/>
            </w:pPr>
            <w:r>
              <w:rPr>
                <w:b/>
                <w:sz w:val="17"/>
              </w:rPr>
              <w:t>METHODS</w:t>
            </w:r>
          </w:p>
        </w:tc>
      </w:tr>
      <w:tr>
        <w:trPr>
          <w:cantSplit/>
          <w:jc w:val="center"/>
        </w:trPr>
        <w:tc>
          <w:tcPr>
            <w:tcW w:w="792" w:type="dxa"/>
          </w:tcPr>
          <w:p>
            <w:pPr>
              <w:spacing w:after="20"/>
            </w:pPr>
            <w:r>
              <w:rPr>
                <w:b/>
              </w:rPr>
              <w:t>4</w:t>
            </w:r>
          </w:p>
        </w:tc>
        <w:tc>
          <w:tcPr>
            <w:tcW w:w="5616" w:type="dxa"/>
          </w:tcPr>
          <w:p>
            <w:pPr>
              <w:spacing w:after="20"/>
            </w:pPr>
            <w:r>
              <w:t>Present key elements of study design early in the paper.</w:t>
            </w:r>
          </w:p>
        </w:tc>
        <w:tc>
          <w:tcPr>
            <w:tcW w:w="3168" w:type="dxa"/>
          </w:tcPr>
          <w:p>
            <w:pPr>
              <w:spacing w:after="20"/>
            </w:pPr>
            <w:r>
              <w:t>p. 4, Materials and Methods, para 1</w:t>
            </w:r>
          </w:p>
        </w:tc>
        <w:tc>
          <w:tcPr>
            <w:tcW w:w="4536" w:type="dxa"/>
          </w:tcPr>
          <w:p>
            <w:pPr>
              <w:spacing w:after="20"/>
            </w:pPr>
            <w:r>
              <w:t>Cross-sectional design with a retrospective phase (2022–2023) and a prospective phase (2024).</w:t>
            </w:r>
          </w:p>
        </w:tc>
      </w:tr>
      <w:tr>
        <w:trPr>
          <w:cantSplit/>
          <w:jc w:val="center"/>
        </w:trPr>
        <w:tc>
          <w:tcPr>
            <w:tcW w:w="792" w:type="dxa"/>
          </w:tcPr>
          <w:p>
            <w:pPr>
              <w:spacing w:after="20"/>
            </w:pPr>
            <w:r>
              <w:rPr>
                <w:b/>
              </w:rPr>
              <w:t>5</w:t>
            </w:r>
          </w:p>
        </w:tc>
        <w:tc>
          <w:tcPr>
            <w:tcW w:w="5616" w:type="dxa"/>
          </w:tcPr>
          <w:p>
            <w:pPr>
              <w:spacing w:after="20"/>
            </w:pPr>
            <w:r>
              <w:t>Describe the setting, locations, and relevant dates, including recruitment, exposure, follow-up and data collection.</w:t>
            </w:r>
          </w:p>
        </w:tc>
        <w:tc>
          <w:tcPr>
            <w:tcW w:w="3168" w:type="dxa"/>
          </w:tcPr>
          <w:p>
            <w:pPr>
              <w:spacing w:after="20"/>
            </w:pPr>
            <w:r>
              <w:t>p. 4, Materials and Methods, para 1</w:t>
            </w:r>
          </w:p>
        </w:tc>
        <w:tc>
          <w:tcPr>
            <w:tcW w:w="4536" w:type="dxa"/>
          </w:tcPr>
          <w:p>
            <w:pPr>
              <w:spacing w:after="20"/>
            </w:pPr>
          </w:p>
        </w:tc>
      </w:tr>
      <w:tr>
        <w:trPr>
          <w:cantSplit/>
          <w:jc w:val="center"/>
        </w:trPr>
        <w:tc>
          <w:tcPr>
            <w:tcW w:w="792" w:type="dxa"/>
          </w:tcPr>
          <w:p>
            <w:pPr>
              <w:spacing w:after="20"/>
            </w:pPr>
            <w:r>
              <w:rPr>
                <w:b/>
              </w:rPr>
              <w:t>5.1</w:t>
            </w:r>
          </w:p>
        </w:tc>
        <w:tc>
          <w:tcPr>
            <w:tcW w:w="5616" w:type="dxa"/>
          </w:tcPr>
          <w:p>
            <w:pPr>
              <w:spacing w:after="20"/>
            </w:pPr>
            <w:r>
              <w:t>Describe the type of institution, level of care, catchment population and wards contributing patients.</w:t>
            </w:r>
          </w:p>
        </w:tc>
        <w:tc>
          <w:tcPr>
            <w:tcW w:w="3168" w:type="dxa"/>
          </w:tcPr>
          <w:p>
            <w:pPr>
              <w:spacing w:after="20"/>
            </w:pPr>
            <w:r>
              <w:t>p. 4, Materials and Methods, para 1; p. 5, Participants</w:t>
            </w:r>
          </w:p>
        </w:tc>
        <w:tc>
          <w:tcPr>
            <w:tcW w:w="4536" w:type="dxa"/>
          </w:tcPr>
          <w:p>
            <w:pPr>
              <w:spacing w:after="20"/>
            </w:pPr>
            <w:r>
              <w:t>Tertiary pediatric referral center for the Mekong Delta; respiratory medicine and intensive/critical care wards.</w:t>
            </w:r>
          </w:p>
        </w:tc>
      </w:tr>
      <w:tr>
        <w:trPr>
          <w:cantSplit/>
          <w:jc w:val="center"/>
        </w:trPr>
        <w:tc>
          <w:tcPr>
            <w:tcW w:w="792" w:type="dxa"/>
          </w:tcPr>
          <w:p>
            <w:pPr>
              <w:spacing w:after="20"/>
            </w:pPr>
            <w:r>
              <w:rPr>
                <w:b/>
              </w:rPr>
              <w:t>5.2</w:t>
            </w:r>
          </w:p>
        </w:tc>
        <w:tc>
          <w:tcPr>
            <w:tcW w:w="5616" w:type="dxa"/>
          </w:tcPr>
          <w:p>
            <w:pPr>
              <w:spacing w:after="20"/>
            </w:pPr>
            <w:r>
              <w:t>State whether the study describes an endemic situation or an outbreak/epidemic period for the organism studied.</w:t>
            </w:r>
          </w:p>
        </w:tc>
        <w:tc>
          <w:tcPr>
            <w:tcW w:w="3168" w:type="dxa"/>
          </w:tcPr>
          <w:p>
            <w:pPr>
              <w:spacing w:after="20"/>
            </w:pPr>
            <w:r>
              <w:t>p. 4, Materials and Methods, para 2; p. 20, Discussion (strengths)</w:t>
            </w:r>
          </w:p>
        </w:tc>
        <w:tc>
          <w:tcPr>
            <w:tcW w:w="4536" w:type="dxa"/>
          </w:tcPr>
          <w:p>
            <w:pPr>
              <w:spacing w:after="20"/>
            </w:pPr>
            <w:r>
              <w:t>Endemic setting. No pneumococcal outbreak was identified and no cluster investigation was undertaken during 2022–2024.</w:t>
            </w:r>
          </w:p>
        </w:tc>
      </w:tr>
      <w:tr>
        <w:trPr>
          <w:cantSplit/>
          <w:jc w:val="center"/>
        </w:trPr>
        <w:tc>
          <w:tcPr>
            <w:tcW w:w="792" w:type="dxa"/>
          </w:tcPr>
          <w:p>
            <w:pPr>
              <w:spacing w:after="20"/>
            </w:pPr>
            <w:r>
              <w:rPr>
                <w:b/>
              </w:rPr>
              <w:t>5.3</w:t>
            </w:r>
          </w:p>
        </w:tc>
        <w:tc>
          <w:tcPr>
            <w:tcW w:w="5616" w:type="dxa"/>
          </w:tcPr>
          <w:p>
            <w:pPr>
              <w:spacing w:after="20"/>
            </w:pPr>
            <w:r>
              <w:t>Describe infection-prevention and control measures in force at the study location during the study period.</w:t>
            </w:r>
          </w:p>
        </w:tc>
        <w:tc>
          <w:tcPr>
            <w:tcW w:w="3168" w:type="dxa"/>
          </w:tcPr>
          <w:p>
            <w:pPr>
              <w:spacing w:after="20"/>
            </w:pPr>
            <w:r>
              <w:t>p. 4, Materials and Methods, para 2</w:t>
            </w:r>
          </w:p>
        </w:tc>
        <w:tc>
          <w:tcPr>
            <w:tcW w:w="4536" w:type="dxa"/>
          </w:tcPr>
          <w:p>
            <w:pPr>
              <w:spacing w:after="20"/>
            </w:pPr>
            <w:r>
              <w:t>Routine standard precautions, applied unchanged across the three years. No pneumococcus-specific measure was introduced, withdrawn, or modified during the study period.</w:t>
            </w:r>
          </w:p>
        </w:tc>
      </w:tr>
      <w:tr>
        <w:trPr>
          <w:cantSplit/>
          <w:jc w:val="center"/>
        </w:trPr>
        <w:tc>
          <w:tcPr>
            <w:tcW w:w="792" w:type="dxa"/>
          </w:tcPr>
          <w:p>
            <w:pPr>
              <w:spacing w:after="20"/>
            </w:pPr>
            <w:r>
              <w:rPr>
                <w:b/>
              </w:rPr>
              <w:t>6</w:t>
            </w:r>
          </w:p>
        </w:tc>
        <w:tc>
          <w:tcPr>
            <w:tcW w:w="5616" w:type="dxa"/>
          </w:tcPr>
          <w:p>
            <w:pPr>
              <w:spacing w:after="20"/>
            </w:pPr>
            <w:r>
              <w:t>Give the eligibility criteria and the sources and methods of selection of participants.</w:t>
            </w:r>
          </w:p>
        </w:tc>
        <w:tc>
          <w:tcPr>
            <w:tcW w:w="3168" w:type="dxa"/>
          </w:tcPr>
          <w:p>
            <w:pPr>
              <w:spacing w:after="20"/>
            </w:pPr>
            <w:r>
              <w:t>p. 5, Participants; p. 10, Study flow; Figure 1</w:t>
            </w:r>
          </w:p>
        </w:tc>
        <w:tc>
          <w:tcPr>
            <w:tcW w:w="4536" w:type="dxa"/>
          </w:tcPr>
          <w:p>
            <w:pPr>
              <w:spacing w:after="20"/>
            </w:pPr>
            <w:r>
              <w:t>Total population sampling of all eligible children; Figure 1 gives the flow from 305 cultured children to 58 analyzed.</w:t>
            </w:r>
          </w:p>
        </w:tc>
      </w:tr>
      <w:tr>
        <w:trPr>
          <w:cantSplit/>
          <w:jc w:val="center"/>
        </w:trPr>
        <w:tc>
          <w:tcPr>
            <w:tcW w:w="792" w:type="dxa"/>
          </w:tcPr>
          <w:p>
            <w:pPr>
              <w:spacing w:after="20"/>
            </w:pPr>
            <w:r>
              <w:rPr>
                <w:b/>
              </w:rPr>
              <w:t>6.1</w:t>
            </w:r>
          </w:p>
        </w:tc>
        <w:tc>
          <w:tcPr>
            <w:tcW w:w="5616" w:type="dxa"/>
          </w:tcPr>
          <w:p>
            <w:pPr>
              <w:spacing w:after="20"/>
            </w:pPr>
            <w:r>
              <w:t>State the definition used to distinguish infection from colonisation.</w:t>
            </w:r>
          </w:p>
        </w:tc>
        <w:tc>
          <w:tcPr>
            <w:tcW w:w="3168" w:type="dxa"/>
          </w:tcPr>
          <w:p>
            <w:pPr>
              <w:spacing w:after="20"/>
            </w:pPr>
            <w:r>
              <w:t>p. 5, Participants; p. 6, Microbiological methods; p. 19, Discussion (limitations)</w:t>
            </w:r>
          </w:p>
        </w:tc>
        <w:tc>
          <w:tcPr>
            <w:tcW w:w="4536" w:type="dxa"/>
          </w:tcPr>
          <w:p>
            <w:pPr>
              <w:spacing w:after="20"/>
            </w:pPr>
            <w:r>
              <w:t>Growth was considered clinically relevant when pure or clearly predominant and concordant with Gram stain. The manuscript states explicitly that nasopharyngeal isolates may reflect colonisation and that only the 8 blood isolates represent unequivocally invasive disease.</w:t>
            </w:r>
          </w:p>
        </w:tc>
      </w:tr>
      <w:tr>
        <w:trPr>
          <w:cantSplit/>
          <w:jc w:val="center"/>
        </w:trPr>
        <w:tc>
          <w:tcPr>
            <w:tcW w:w="792" w:type="dxa"/>
          </w:tcPr>
          <w:p>
            <w:pPr>
              <w:spacing w:after="20"/>
            </w:pPr>
            <w:r>
              <w:rPr>
                <w:b/>
              </w:rPr>
              <w:t>6.2</w:t>
            </w:r>
          </w:p>
        </w:tc>
        <w:tc>
          <w:tcPr>
            <w:tcW w:w="5616" w:type="dxa"/>
          </w:tcPr>
          <w:p>
            <w:pPr>
              <w:spacing w:after="20"/>
            </w:pPr>
            <w:r>
              <w:t>If the definition is not a validated reference standard, give the evidence supporting its robustness.</w:t>
            </w:r>
          </w:p>
        </w:tc>
        <w:tc>
          <w:tcPr>
            <w:tcW w:w="3168" w:type="dxa"/>
          </w:tcPr>
          <w:p>
            <w:pPr>
              <w:spacing w:after="20"/>
            </w:pPr>
            <w:r>
              <w:t>p. 6, Microbiological methods; p. 19, Discussion (limitations)</w:t>
            </w:r>
          </w:p>
        </w:tc>
        <w:tc>
          <w:tcPr>
            <w:tcW w:w="4536" w:type="dxa"/>
          </w:tcPr>
          <w:p>
            <w:pPr>
              <w:spacing w:after="20"/>
            </w:pPr>
            <w:r>
              <w:t>Partially satisfied. Pneumonia and suspected bacteremia follow national and WHO criteria and an internal hospital protocol; the infection-versus-colonisation distinction for respiratory isolates is not externally validated and this is stated as a limitation rather than claimed as validated.</w:t>
            </w:r>
          </w:p>
        </w:tc>
      </w:tr>
      <w:tr>
        <w:trPr>
          <w:cantSplit/>
          <w:jc w:val="center"/>
        </w:trPr>
        <w:tc>
          <w:tcPr>
            <w:tcW w:w="792" w:type="dxa"/>
          </w:tcPr>
          <w:p>
            <w:pPr>
              <w:spacing w:after="20"/>
            </w:pPr>
            <w:r>
              <w:rPr>
                <w:b/>
              </w:rPr>
              <w:t>6.3</w:t>
            </w:r>
          </w:p>
        </w:tc>
        <w:tc>
          <w:tcPr>
            <w:tcW w:w="5616" w:type="dxa"/>
          </w:tcPr>
          <w:p>
            <w:pPr>
              <w:spacing w:after="20"/>
            </w:pPr>
            <w:r>
              <w:t>State how cases were ascertained (clinically indicated cultures versus systematic screening) and whether repeat isolates from the same patient were removed.</w:t>
            </w:r>
          </w:p>
        </w:tc>
        <w:tc>
          <w:tcPr>
            <w:tcW w:w="3168" w:type="dxa"/>
          </w:tcPr>
          <w:p>
            <w:pPr>
              <w:spacing w:after="20"/>
            </w:pPr>
            <w:r>
              <w:t>p. 5, Participants; p. 10, Study flow</w:t>
            </w:r>
          </w:p>
        </w:tc>
        <w:tc>
          <w:tcPr>
            <w:tcW w:w="4536" w:type="dxa"/>
          </w:tcPr>
          <w:p>
            <w:pPr>
              <w:spacing w:after="20"/>
            </w:pPr>
            <w:r>
              <w:t>Clinically indicated cultures only; no screening program. One first isolate per child; 8 repeat isolates excluded.</w:t>
            </w:r>
          </w:p>
        </w:tc>
      </w:tr>
      <w:tr>
        <w:trPr>
          <w:cantSplit/>
          <w:jc w:val="center"/>
        </w:trPr>
        <w:tc>
          <w:tcPr>
            <w:tcW w:w="792" w:type="dxa"/>
          </w:tcPr>
          <w:p>
            <w:pPr>
              <w:spacing w:after="20"/>
            </w:pPr>
            <w:r>
              <w:rPr>
                <w:b/>
              </w:rPr>
              <w:t>7</w:t>
            </w:r>
          </w:p>
        </w:tc>
        <w:tc>
          <w:tcPr>
            <w:tcW w:w="5616" w:type="dxa"/>
          </w:tcPr>
          <w:p>
            <w:pPr>
              <w:spacing w:after="20"/>
            </w:pPr>
            <w:r>
              <w:t>Clearly define all outcomes, exposures, predictors, potential confounders and effect modifiers.</w:t>
            </w:r>
          </w:p>
        </w:tc>
        <w:tc>
          <w:tcPr>
            <w:tcW w:w="3168" w:type="dxa"/>
          </w:tcPr>
          <w:p>
            <w:pPr>
              <w:spacing w:after="20"/>
            </w:pPr>
            <w:r>
              <w:t>p. 8, Definitions and variables</w:t>
            </w:r>
          </w:p>
        </w:tc>
        <w:tc>
          <w:tcPr>
            <w:tcW w:w="4536" w:type="dxa"/>
          </w:tcPr>
          <w:p>
            <w:pPr>
              <w:spacing w:after="20"/>
            </w:pPr>
            <w:r>
              <w:t>Primary outcome: MDR status. Explanatory variables: age group, sex, admitting ward, underlying condition, antibiotic use within 30 days, prior pneumococcal vaccination.</w:t>
            </w:r>
          </w:p>
        </w:tc>
      </w:tr>
      <w:tr>
        <w:trPr>
          <w:cantSplit/>
          <w:jc w:val="center"/>
        </w:trPr>
        <w:tc>
          <w:tcPr>
            <w:tcW w:w="792" w:type="dxa"/>
          </w:tcPr>
          <w:p>
            <w:pPr>
              <w:spacing w:after="20"/>
            </w:pPr>
            <w:r>
              <w:rPr>
                <w:b/>
              </w:rPr>
              <w:t>7.1</w:t>
            </w:r>
          </w:p>
        </w:tc>
        <w:tc>
          <w:tcPr>
            <w:tcW w:w="5616" w:type="dxa"/>
          </w:tcPr>
          <w:p>
            <w:pPr>
              <w:spacing w:after="20"/>
            </w:pPr>
            <w:r>
              <w:t>Define antimicrobial exposure at patient level, including agent, dose, duration, route and combinations.</w:t>
            </w:r>
          </w:p>
        </w:tc>
        <w:tc>
          <w:tcPr>
            <w:tcW w:w="3168" w:type="dxa"/>
          </w:tcPr>
          <w:p>
            <w:pPr>
              <w:spacing w:after="20"/>
            </w:pPr>
            <w:r>
              <w:t>p. 8–9, Definitions and variables; p. 19, Discussion (limitations)</w:t>
            </w:r>
          </w:p>
        </w:tc>
        <w:tc>
          <w:tcPr>
            <w:tcW w:w="4536" w:type="dxa"/>
          </w:tcPr>
          <w:p>
            <w:pPr>
              <w:spacing w:after="20"/>
            </w:pPr>
            <w:r>
              <w:t>Partially satisfied and explicitly qualified. Exposure was abstracted as a binary variable (any documented antibiotic within 30 days before admission). Agent, dose, route, duration and combinations were not recorded; this is stated as a limitation.</w:t>
            </w:r>
          </w:p>
        </w:tc>
      </w:tr>
      <w:tr>
        <w:trPr>
          <w:cantSplit/>
          <w:jc w:val="center"/>
        </w:trPr>
        <w:tc>
          <w:tcPr>
            <w:tcW w:w="792" w:type="dxa"/>
          </w:tcPr>
          <w:p>
            <w:pPr>
              <w:spacing w:after="20"/>
            </w:pPr>
            <w:r>
              <w:rPr>
                <w:b/>
              </w:rPr>
              <w:t>7.2</w:t>
            </w:r>
          </w:p>
        </w:tc>
        <w:tc>
          <w:tcPr>
            <w:tcW w:w="5616" w:type="dxa"/>
          </w:tcPr>
          <w:p>
            <w:pPr>
              <w:spacing w:after="20"/>
            </w:pPr>
            <w:r>
              <w:t>Describe the antimicrobial formulary or prescribing policy in force at the study institution.</w:t>
            </w:r>
          </w:p>
        </w:tc>
        <w:tc>
          <w:tcPr>
            <w:tcW w:w="3168" w:type="dxa"/>
          </w:tcPr>
          <w:p>
            <w:pPr>
              <w:spacing w:after="20"/>
            </w:pPr>
            <w:r>
              <w:t>Not reported</w:t>
            </w:r>
          </w:p>
        </w:tc>
        <w:tc>
          <w:tcPr>
            <w:tcW w:w="4536" w:type="dxa"/>
          </w:tcPr>
          <w:p>
            <w:pPr>
              <w:spacing w:after="20"/>
            </w:pPr>
            <w:r>
              <w:t>Not required for the analyses presented, which do not relate institutional prescribing to resistance. Authors may add one sentence if the journal requests it.</w:t>
            </w:r>
          </w:p>
        </w:tc>
      </w:tr>
      <w:tr>
        <w:trPr>
          <w:cantSplit/>
          <w:jc w:val="center"/>
        </w:trPr>
        <w:tc>
          <w:tcPr>
            <w:tcW w:w="792" w:type="dxa"/>
          </w:tcPr>
          <w:p>
            <w:pPr>
              <w:spacing w:after="20"/>
            </w:pPr>
            <w:r>
              <w:rPr>
                <w:b/>
              </w:rPr>
              <w:lastRenderedPageBreak/>
              <w:t>7.3</w:t>
            </w:r>
          </w:p>
        </w:tc>
        <w:tc>
          <w:tcPr>
            <w:tcW w:w="5616" w:type="dxa"/>
          </w:tcPr>
          <w:p>
            <w:pPr>
              <w:spacing w:after="20"/>
            </w:pPr>
            <w:r>
              <w:t>State the metric used to quantify antimicrobial consumption (for example DDD, PDD, days of therapy, treatment courses, units dispensed).</w:t>
            </w:r>
          </w:p>
        </w:tc>
        <w:tc>
          <w:tcPr>
            <w:tcW w:w="3168" w:type="dxa"/>
          </w:tcPr>
          <w:p>
            <w:pPr>
              <w:spacing w:after="20"/>
            </w:pPr>
            <w:r>
              <w:t>Not applicable</w:t>
            </w:r>
          </w:p>
        </w:tc>
        <w:tc>
          <w:tcPr>
            <w:tcW w:w="4536" w:type="dxa"/>
          </w:tcPr>
          <w:p>
            <w:pPr>
              <w:spacing w:after="20"/>
            </w:pPr>
            <w:r>
              <w:t>No consumption metric was computed. The study does not analyse antimicrobial usage against resistance; prior exposure enters only as a binary patient-level covariate (item 7.1).</w:t>
            </w:r>
          </w:p>
        </w:tc>
      </w:tr>
      <w:tr>
        <w:trPr>
          <w:cantSplit/>
          <w:jc w:val="center"/>
        </w:trPr>
        <w:tc>
          <w:tcPr>
            <w:tcW w:w="792" w:type="dxa"/>
          </w:tcPr>
          <w:p>
            <w:pPr>
              <w:spacing w:after="20"/>
            </w:pPr>
            <w:r>
              <w:rPr>
                <w:b/>
              </w:rPr>
              <w:t>7.4</w:t>
            </w:r>
          </w:p>
        </w:tc>
        <w:tc>
          <w:tcPr>
            <w:tcW w:w="5616" w:type="dxa"/>
          </w:tcPr>
          <w:p>
            <w:pPr>
              <w:spacing w:after="20"/>
            </w:pPr>
            <w:r>
              <w:t>State the source of consumption data and whether antimicrobials were actually administered or only purchased or dispensed.</w:t>
            </w:r>
          </w:p>
        </w:tc>
        <w:tc>
          <w:tcPr>
            <w:tcW w:w="3168" w:type="dxa"/>
          </w:tcPr>
          <w:p>
            <w:pPr>
              <w:spacing w:after="20"/>
            </w:pPr>
            <w:r>
              <w:t>Not applicable</w:t>
            </w:r>
          </w:p>
        </w:tc>
        <w:tc>
          <w:tcPr>
            <w:tcW w:w="4536" w:type="dxa"/>
          </w:tcPr>
          <w:p>
            <w:pPr>
              <w:spacing w:after="20"/>
            </w:pPr>
            <w:r>
              <w:t>No aggregate consumption data were used. Patient-level exposure was abstracted from the medical record and reflects documented treatment, including treatment given before referral where recorded (p. 8).</w:t>
            </w:r>
          </w:p>
        </w:tc>
      </w:tr>
      <w:tr>
        <w:trPr>
          <w:cantSplit/>
          <w:jc w:val="center"/>
        </w:trPr>
        <w:tc>
          <w:tcPr>
            <w:tcW w:w="792" w:type="dxa"/>
          </w:tcPr>
          <w:p>
            <w:pPr>
              <w:spacing w:after="20"/>
            </w:pPr>
            <w:r>
              <w:rPr>
                <w:b/>
              </w:rPr>
              <w:t>7.5</w:t>
            </w:r>
          </w:p>
        </w:tc>
        <w:tc>
          <w:tcPr>
            <w:tcW w:w="5616" w:type="dxa"/>
          </w:tcPr>
          <w:p>
            <w:pPr>
              <w:spacing w:after="20"/>
            </w:pPr>
            <w:r>
              <w:t>Define resistance and state the interpretive standard and edition applied.</w:t>
            </w:r>
          </w:p>
        </w:tc>
        <w:tc>
          <w:tcPr>
            <w:tcW w:w="3168" w:type="dxa"/>
          </w:tcPr>
          <w:p>
            <w:pPr>
              <w:spacing w:after="20"/>
            </w:pPr>
            <w:r>
              <w:t>p. 7, Microbiological methods; p. 8, Definitions and variables; Supplementary Tables S2 and S4</w:t>
            </w:r>
          </w:p>
        </w:tc>
        <w:tc>
          <w:tcPr>
            <w:tcW w:w="4536" w:type="dxa"/>
          </w:tcPr>
          <w:p>
            <w:pPr>
              <w:spacing w:after="20"/>
            </w:pPr>
            <w:r>
              <w:t>CLSI M100, edition current in each study year (32nd/33rd/34th), parenteral non-meningitis criteria. MDR defined as non-susceptibility to ≥1 agent in ≥3 classes with an independent applicable pneumococcal criterion; ampicillin is excluded as a surrogate result (Supplementary Table S4).</w:t>
            </w:r>
          </w:p>
        </w:tc>
      </w:tr>
      <w:tr>
        <w:trPr>
          <w:cantSplit/>
          <w:jc w:val="center"/>
        </w:trPr>
        <w:tc>
          <w:tcPr>
            <w:tcW w:w="792" w:type="dxa"/>
          </w:tcPr>
          <w:p>
            <w:pPr>
              <w:spacing w:after="20"/>
            </w:pPr>
            <w:r>
              <w:rPr>
                <w:b/>
              </w:rPr>
              <w:t>8</w:t>
            </w:r>
          </w:p>
        </w:tc>
        <w:tc>
          <w:tcPr>
            <w:tcW w:w="5616" w:type="dxa"/>
          </w:tcPr>
          <w:p>
            <w:pPr>
              <w:spacing w:after="20"/>
            </w:pPr>
            <w:r>
              <w:t>For each variable of interest, give sources of data and details of methods of assessment; describe comparability of assessment methods if there is more than one group.</w:t>
            </w:r>
          </w:p>
        </w:tc>
        <w:tc>
          <w:tcPr>
            <w:tcW w:w="3168" w:type="dxa"/>
          </w:tcPr>
          <w:p>
            <w:pPr>
              <w:spacing w:after="20"/>
            </w:pPr>
            <w:r>
              <w:t>p. 6–7, Microbiological methods; p. 8–9, Definitions and variables</w:t>
            </w:r>
          </w:p>
        </w:tc>
        <w:tc>
          <w:tcPr>
            <w:tcW w:w="4536" w:type="dxa"/>
          </w:tcPr>
          <w:p>
            <w:pPr>
              <w:spacing w:after="20"/>
            </w:pPr>
            <w:r>
              <w:t>A single unchanged laboratory workflow across all three years; summarized by year in Supplementary Table S2.</w:t>
            </w:r>
          </w:p>
        </w:tc>
      </w:tr>
      <w:tr>
        <w:trPr>
          <w:cantSplit/>
          <w:jc w:val="center"/>
        </w:trPr>
        <w:tc>
          <w:tcPr>
            <w:tcW w:w="792" w:type="dxa"/>
          </w:tcPr>
          <w:p>
            <w:pPr>
              <w:spacing w:after="20"/>
            </w:pPr>
            <w:r>
              <w:rPr>
                <w:b/>
              </w:rPr>
              <w:t>8.1</w:t>
            </w:r>
          </w:p>
        </w:tc>
        <w:tc>
          <w:tcPr>
            <w:tcW w:w="5616" w:type="dxa"/>
          </w:tcPr>
          <w:p>
            <w:pPr>
              <w:spacing w:after="20"/>
            </w:pPr>
            <w:r>
              <w:t>Describe microbiological methods: species identification, susceptibility testing method, confirmatory testing and quality control.</w:t>
            </w:r>
          </w:p>
        </w:tc>
        <w:tc>
          <w:tcPr>
            <w:tcW w:w="3168" w:type="dxa"/>
          </w:tcPr>
          <w:p>
            <w:pPr>
              <w:spacing w:after="20"/>
            </w:pPr>
            <w:r>
              <w:t>p. 6–7, Microbiological methods; Supplementary Table S2</w:t>
            </w:r>
          </w:p>
        </w:tc>
        <w:tc>
          <w:tcPr>
            <w:tcW w:w="4536" w:type="dxa"/>
          </w:tcPr>
          <w:p>
            <w:pPr>
              <w:spacing w:after="20"/>
            </w:pPr>
            <w:r>
              <w:t>Optochin and VITEK 2 Compact identification; VITEK 2 AST-GP67; gradient diffusion confirmation; S. pneumoniae ATCC 49619 quality-control strain with stated QC frequency and lot verification.</w:t>
            </w:r>
          </w:p>
        </w:tc>
      </w:tr>
      <w:tr>
        <w:trPr>
          <w:cantSplit/>
          <w:jc w:val="center"/>
        </w:trPr>
        <w:tc>
          <w:tcPr>
            <w:tcW w:w="792" w:type="dxa"/>
          </w:tcPr>
          <w:p>
            <w:pPr>
              <w:spacing w:after="20"/>
            </w:pPr>
            <w:r>
              <w:rPr>
                <w:b/>
              </w:rPr>
              <w:t>8.2</w:t>
            </w:r>
          </w:p>
        </w:tc>
        <w:tc>
          <w:tcPr>
            <w:tcW w:w="5616" w:type="dxa"/>
          </w:tcPr>
          <w:p>
            <w:pPr>
              <w:spacing w:after="20"/>
            </w:pPr>
            <w:r>
              <w:t>Report molecular mechanisms of resistance and molecular typing if determined.</w:t>
            </w:r>
          </w:p>
        </w:tc>
        <w:tc>
          <w:tcPr>
            <w:tcW w:w="3168" w:type="dxa"/>
          </w:tcPr>
          <w:p>
            <w:pPr>
              <w:spacing w:after="20"/>
            </w:pPr>
            <w:r>
              <w:t>Not applicable</w:t>
            </w:r>
          </w:p>
        </w:tc>
        <w:tc>
          <w:tcPr>
            <w:tcW w:w="4536" w:type="dxa"/>
          </w:tcPr>
          <w:p>
            <w:pPr>
              <w:spacing w:after="20"/>
            </w:pPr>
            <w:r>
              <w:t>No serotyping, genotyping or molecular resistance testing was performed. Stated as a limitation (p. 19) and reflected in the Discussion, which draws no serotype-specific inference.</w:t>
            </w:r>
          </w:p>
        </w:tc>
      </w:tr>
      <w:tr>
        <w:trPr>
          <w:cantSplit/>
          <w:jc w:val="center"/>
        </w:trPr>
        <w:tc>
          <w:tcPr>
            <w:tcW w:w="792" w:type="dxa"/>
          </w:tcPr>
          <w:p>
            <w:pPr>
              <w:spacing w:after="20"/>
            </w:pPr>
            <w:r>
              <w:rPr>
                <w:b/>
              </w:rPr>
              <w:t>8.3</w:t>
            </w:r>
          </w:p>
        </w:tc>
        <w:tc>
          <w:tcPr>
            <w:tcW w:w="5616" w:type="dxa"/>
          </w:tcPr>
          <w:p>
            <w:pPr>
              <w:spacing w:after="20"/>
            </w:pPr>
            <w:r>
              <w:t>State the specimen types included and whether non-sterile-site isolates contributed to the analysis.</w:t>
            </w:r>
          </w:p>
        </w:tc>
        <w:tc>
          <w:tcPr>
            <w:tcW w:w="3168" w:type="dxa"/>
          </w:tcPr>
          <w:p>
            <w:pPr>
              <w:spacing w:after="20"/>
            </w:pPr>
            <w:r>
              <w:t>p. 6, Microbiological methods; p. 10, Characteristics; Table 1</w:t>
            </w:r>
          </w:p>
        </w:tc>
        <w:tc>
          <w:tcPr>
            <w:tcW w:w="4536" w:type="dxa"/>
          </w:tcPr>
          <w:p>
            <w:pPr>
              <w:spacing w:after="20"/>
            </w:pPr>
            <w:r>
              <w:t>Nasopharyngeal aspirates (n = 50) and blood (n = 8). The predominance of non-sterile specimens is stated in the title, Abstract and Discussion.</w:t>
            </w:r>
          </w:p>
        </w:tc>
      </w:tr>
      <w:tr>
        <w:trPr>
          <w:cantSplit/>
          <w:jc w:val="center"/>
        </w:trPr>
        <w:tc>
          <w:tcPr>
            <w:tcW w:w="792" w:type="dxa"/>
          </w:tcPr>
          <w:p>
            <w:pPr>
              <w:spacing w:after="20"/>
            </w:pPr>
            <w:r>
              <w:rPr>
                <w:b/>
              </w:rPr>
              <w:t>9</w:t>
            </w:r>
          </w:p>
        </w:tc>
        <w:tc>
          <w:tcPr>
            <w:tcW w:w="5616" w:type="dxa"/>
          </w:tcPr>
          <w:p>
            <w:pPr>
              <w:spacing w:after="20"/>
            </w:pPr>
            <w:r>
              <w:t>Describe any efforts to address potential sources of bias.</w:t>
            </w:r>
          </w:p>
        </w:tc>
        <w:tc>
          <w:tcPr>
            <w:tcW w:w="3168" w:type="dxa"/>
          </w:tcPr>
          <w:p>
            <w:pPr>
              <w:spacing w:after="20"/>
            </w:pPr>
            <w:r>
              <w:t>p. 8–9, Definitions and variables; p. 19, Discussion (limitations)</w:t>
            </w:r>
          </w:p>
        </w:tc>
        <w:tc>
          <w:tcPr>
            <w:tcW w:w="4536" w:type="dxa"/>
          </w:tcPr>
          <w:p>
            <w:pPr>
              <w:spacing w:after="20"/>
            </w:pPr>
            <w:r>
              <w:t>Selective-testing (verification) bias is analysed directly: under-testing can only misclassify true MDR isolates as non-MDR, so 65.5% is presented as a floor.</w:t>
            </w:r>
          </w:p>
        </w:tc>
      </w:tr>
      <w:tr>
        <w:trPr>
          <w:cantSplit/>
          <w:jc w:val="center"/>
        </w:trPr>
        <w:tc>
          <w:tcPr>
            <w:tcW w:w="792" w:type="dxa"/>
          </w:tcPr>
          <w:p>
            <w:pPr>
              <w:spacing w:after="20"/>
            </w:pPr>
            <w:r>
              <w:rPr>
                <w:b/>
              </w:rPr>
              <w:t>9.1</w:t>
            </w:r>
          </w:p>
        </w:tc>
        <w:tc>
          <w:tcPr>
            <w:tcW w:w="5616" w:type="dxa"/>
          </w:tcPr>
          <w:p>
            <w:pPr>
              <w:spacing w:after="20"/>
            </w:pPr>
            <w:r>
              <w:t>Describe how incomplete or clinically directed susceptibility panels were handled in the classification of resistance.</w:t>
            </w:r>
          </w:p>
        </w:tc>
        <w:tc>
          <w:tcPr>
            <w:tcW w:w="3168" w:type="dxa"/>
          </w:tcPr>
          <w:p>
            <w:pPr>
              <w:spacing w:after="20"/>
            </w:pPr>
            <w:r>
              <w:t>p. 9, Definitions and variables; p. 12, Multidrug resistance; Table 4 (p. 15); Supplementary Table S1</w:t>
            </w:r>
          </w:p>
        </w:tc>
        <w:tc>
          <w:tcPr>
            <w:tcW w:w="4536" w:type="dxa"/>
          </w:tcPr>
          <w:p>
            <w:pPr>
              <w:spacing w:after="20"/>
            </w:pPr>
            <w:r>
              <w:t>Untested classes were excluded from the denominator and never imputed as susceptible. Four sensitivity analyses are reported, including two that reclassify incompletely tested isolates as indeterminate.</w:t>
            </w:r>
          </w:p>
        </w:tc>
      </w:tr>
      <w:tr>
        <w:trPr>
          <w:cantSplit/>
          <w:jc w:val="center"/>
        </w:trPr>
        <w:tc>
          <w:tcPr>
            <w:tcW w:w="792" w:type="dxa"/>
          </w:tcPr>
          <w:p>
            <w:pPr>
              <w:spacing w:after="20"/>
            </w:pPr>
            <w:r>
              <w:rPr>
                <w:b/>
              </w:rPr>
              <w:t>10</w:t>
            </w:r>
          </w:p>
        </w:tc>
        <w:tc>
          <w:tcPr>
            <w:tcW w:w="5616" w:type="dxa"/>
          </w:tcPr>
          <w:p>
            <w:pPr>
              <w:spacing w:after="20"/>
            </w:pPr>
            <w:r>
              <w:t>Explain how the study size was arrived at.</w:t>
            </w:r>
          </w:p>
        </w:tc>
        <w:tc>
          <w:tcPr>
            <w:tcW w:w="3168" w:type="dxa"/>
          </w:tcPr>
          <w:p>
            <w:pPr>
              <w:spacing w:after="20"/>
            </w:pPr>
            <w:r>
              <w:t>p. 5–6, Participants</w:t>
            </w:r>
          </w:p>
        </w:tc>
        <w:tc>
          <w:tcPr>
            <w:tcW w:w="4536" w:type="dxa"/>
          </w:tcPr>
          <w:p>
            <w:pPr>
              <w:spacing w:after="20"/>
            </w:pPr>
            <w:r>
              <w:t>No a priori sample-size calculation; all eligible isolates in the period were included. Precision is reported post hoc as 95% confidence intervals.</w:t>
            </w:r>
          </w:p>
        </w:tc>
      </w:tr>
      <w:tr>
        <w:trPr>
          <w:cantSplit/>
          <w:jc w:val="center"/>
        </w:trPr>
        <w:tc>
          <w:tcPr>
            <w:tcW w:w="792" w:type="dxa"/>
          </w:tcPr>
          <w:p>
            <w:pPr>
              <w:spacing w:after="20"/>
            </w:pPr>
            <w:r>
              <w:rPr>
                <w:b/>
              </w:rPr>
              <w:t>11</w:t>
            </w:r>
          </w:p>
        </w:tc>
        <w:tc>
          <w:tcPr>
            <w:tcW w:w="5616" w:type="dxa"/>
          </w:tcPr>
          <w:p>
            <w:pPr>
              <w:spacing w:after="20"/>
            </w:pPr>
            <w:r>
              <w:t>Explain how quantitative variables were handled in the analyses and, if applicable, which groupings were chosen and why.</w:t>
            </w:r>
          </w:p>
        </w:tc>
        <w:tc>
          <w:tcPr>
            <w:tcW w:w="3168" w:type="dxa"/>
          </w:tcPr>
          <w:p>
            <w:pPr>
              <w:spacing w:after="20"/>
            </w:pPr>
            <w:r>
              <w:t>p. 8–9, Definitions and variables; p. 9–10, Statistical Analysis</w:t>
            </w:r>
          </w:p>
        </w:tc>
        <w:tc>
          <w:tcPr>
            <w:tcW w:w="4536" w:type="dxa"/>
          </w:tcPr>
          <w:p>
            <w:pPr>
              <w:spacing w:after="20"/>
            </w:pPr>
            <w:r>
              <w:t>Age analysed both as a continuous median with IQR and in prespecified bands; MDR analysis dichotomized age at 5 years.</w:t>
            </w:r>
          </w:p>
        </w:tc>
      </w:tr>
      <w:tr>
        <w:trPr>
          <w:cantSplit/>
          <w:jc w:val="center"/>
        </w:trPr>
        <w:tc>
          <w:tcPr>
            <w:tcW w:w="792" w:type="dxa"/>
          </w:tcPr>
          <w:p>
            <w:pPr>
              <w:spacing w:after="20"/>
            </w:pPr>
            <w:r>
              <w:rPr>
                <w:b/>
              </w:rPr>
              <w:t>11.1</w:t>
            </w:r>
          </w:p>
        </w:tc>
        <w:tc>
          <w:tcPr>
            <w:tcW w:w="5616" w:type="dxa"/>
          </w:tcPr>
          <w:p>
            <w:pPr>
              <w:spacing w:after="20"/>
            </w:pPr>
            <w:r>
              <w:t>State how antimicrobial exposure was categorised and justify the cut-off used.</w:t>
            </w:r>
          </w:p>
        </w:tc>
        <w:tc>
          <w:tcPr>
            <w:tcW w:w="3168" w:type="dxa"/>
          </w:tcPr>
          <w:p>
            <w:pPr>
              <w:spacing w:after="20"/>
            </w:pPr>
            <w:r>
              <w:t>p. 8, Definitions and variables</w:t>
            </w:r>
          </w:p>
        </w:tc>
        <w:tc>
          <w:tcPr>
            <w:tcW w:w="4536" w:type="dxa"/>
          </w:tcPr>
          <w:p>
            <w:pPr>
              <w:spacing w:after="20"/>
            </w:pPr>
            <w:r>
              <w:t>Dichotomized as any documented antimicrobial use within the 30 days before admission versus none, a conventional window in pneumococcal resistance studies. No dose- or duration-response analysis was possible (item 7.1).</w:t>
            </w:r>
          </w:p>
        </w:tc>
      </w:tr>
      <w:tr>
        <w:trPr>
          <w:cantSplit/>
          <w:jc w:val="center"/>
        </w:trPr>
        <w:tc>
          <w:tcPr>
            <w:tcW w:w="792" w:type="dxa"/>
          </w:tcPr>
          <w:p>
            <w:pPr>
              <w:spacing w:after="20"/>
            </w:pPr>
            <w:r>
              <w:rPr>
                <w:b/>
              </w:rPr>
              <w:t>12(a)</w:t>
            </w:r>
          </w:p>
        </w:tc>
        <w:tc>
          <w:tcPr>
            <w:tcW w:w="5616" w:type="dxa"/>
          </w:tcPr>
          <w:p>
            <w:pPr>
              <w:spacing w:after="20"/>
            </w:pPr>
            <w:r>
              <w:t>Describe all statistical methods, including those used to control for confounding.</w:t>
            </w:r>
          </w:p>
        </w:tc>
        <w:tc>
          <w:tcPr>
            <w:tcW w:w="3168" w:type="dxa"/>
          </w:tcPr>
          <w:p>
            <w:pPr>
              <w:spacing w:after="20"/>
            </w:pPr>
            <w:r>
              <w:t>p. 9, Statistical Analysis</w:t>
            </w:r>
          </w:p>
        </w:tc>
        <w:tc>
          <w:tcPr>
            <w:tcW w:w="4536" w:type="dxa"/>
          </w:tcPr>
          <w:p>
            <w:pPr>
              <w:spacing w:after="20"/>
            </w:pPr>
            <w:r>
              <w:t>Unadjusted analyses only; no multivariable model was fitted, given 20 non-MDR isolates. Stated explicitly.</w:t>
            </w:r>
          </w:p>
        </w:tc>
      </w:tr>
      <w:tr>
        <w:trPr>
          <w:cantSplit/>
          <w:jc w:val="center"/>
        </w:trPr>
        <w:tc>
          <w:tcPr>
            <w:tcW w:w="792" w:type="dxa"/>
          </w:tcPr>
          <w:p>
            <w:pPr>
              <w:spacing w:after="20"/>
            </w:pPr>
            <w:r>
              <w:rPr>
                <w:b/>
              </w:rPr>
              <w:t>12(b)</w:t>
            </w:r>
          </w:p>
        </w:tc>
        <w:tc>
          <w:tcPr>
            <w:tcW w:w="5616" w:type="dxa"/>
          </w:tcPr>
          <w:p>
            <w:pPr>
              <w:spacing w:after="20"/>
            </w:pPr>
            <w:r>
              <w:t>Describe any methods used to examine subgroups and interactions.</w:t>
            </w:r>
          </w:p>
        </w:tc>
        <w:tc>
          <w:tcPr>
            <w:tcW w:w="3168" w:type="dxa"/>
          </w:tcPr>
          <w:p>
            <w:pPr>
              <w:spacing w:after="20"/>
            </w:pPr>
            <w:r>
              <w:t>p. 9, Statistical Analysis; p. 12–13, Results</w:t>
            </w:r>
          </w:p>
        </w:tc>
        <w:tc>
          <w:tcPr>
            <w:tcW w:w="4536" w:type="dxa"/>
          </w:tcPr>
          <w:p>
            <w:pPr>
              <w:spacing w:after="20"/>
            </w:pPr>
            <w:r>
              <w:t>Prespecified comparisons by specimen source and clinical syndrome; reported descriptively with odds ratios and confidence intervals.</w:t>
            </w:r>
          </w:p>
        </w:tc>
      </w:tr>
      <w:tr>
        <w:trPr>
          <w:cantSplit/>
          <w:jc w:val="center"/>
        </w:trPr>
        <w:tc>
          <w:tcPr>
            <w:tcW w:w="792" w:type="dxa"/>
          </w:tcPr>
          <w:p>
            <w:pPr>
              <w:spacing w:after="20"/>
            </w:pPr>
            <w:r>
              <w:rPr>
                <w:b/>
              </w:rPr>
              <w:t>12(c)</w:t>
            </w:r>
          </w:p>
        </w:tc>
        <w:tc>
          <w:tcPr>
            <w:tcW w:w="5616" w:type="dxa"/>
          </w:tcPr>
          <w:p>
            <w:pPr>
              <w:spacing w:after="20"/>
            </w:pPr>
            <w:r>
              <w:t>Explain how missing data were addressed.</w:t>
            </w:r>
          </w:p>
        </w:tc>
        <w:tc>
          <w:tcPr>
            <w:tcW w:w="3168" w:type="dxa"/>
          </w:tcPr>
          <w:p>
            <w:pPr>
              <w:spacing w:after="20"/>
            </w:pPr>
            <w:r>
              <w:t>p. 8–9, Definitions and variables; p. 9–10, Statistical Analysis</w:t>
            </w:r>
          </w:p>
        </w:tc>
        <w:tc>
          <w:tcPr>
            <w:tcW w:w="4536" w:type="dxa"/>
          </w:tcPr>
          <w:p>
            <w:pPr>
              <w:spacing w:after="20"/>
            </w:pPr>
            <w:r>
              <w:t>Untested antimicrobial classes treated as missing, not as susceptible. No imputation was performed.</w:t>
            </w:r>
          </w:p>
        </w:tc>
      </w:tr>
      <w:tr>
        <w:trPr>
          <w:cantSplit/>
          <w:jc w:val="center"/>
        </w:trPr>
        <w:tc>
          <w:tcPr>
            <w:tcW w:w="792" w:type="dxa"/>
          </w:tcPr>
          <w:p>
            <w:pPr>
              <w:spacing w:after="20"/>
            </w:pPr>
            <w:r>
              <w:rPr>
                <w:b/>
              </w:rPr>
              <w:t>12(d)</w:t>
            </w:r>
          </w:p>
        </w:tc>
        <w:tc>
          <w:tcPr>
            <w:tcW w:w="5616" w:type="dxa"/>
          </w:tcPr>
          <w:p>
            <w:pPr>
              <w:spacing w:after="20"/>
            </w:pPr>
            <w:r>
              <w:t>For cross-sectional studies, describe any analytical methods taking account of the sampling strategy.</w:t>
            </w:r>
          </w:p>
        </w:tc>
        <w:tc>
          <w:tcPr>
            <w:tcW w:w="3168" w:type="dxa"/>
          </w:tcPr>
          <w:p>
            <w:pPr>
              <w:spacing w:after="20"/>
            </w:pPr>
            <w:r>
              <w:t>p. 5–6, Participants; p. 9, Statistical Analysis</w:t>
            </w:r>
          </w:p>
        </w:tc>
        <w:tc>
          <w:tcPr>
            <w:tcW w:w="4536" w:type="dxa"/>
          </w:tcPr>
          <w:p>
            <w:pPr>
              <w:spacing w:after="20"/>
            </w:pPr>
            <w:r>
              <w:t>Total population sampling of eligible children; no weighting or complex survey design applies.</w:t>
            </w:r>
          </w:p>
        </w:tc>
      </w:tr>
      <w:tr>
        <w:trPr>
          <w:cantSplit/>
          <w:jc w:val="center"/>
        </w:trPr>
        <w:tc>
          <w:tcPr>
            <w:tcW w:w="792" w:type="dxa"/>
          </w:tcPr>
          <w:p>
            <w:pPr>
              <w:spacing w:after="20"/>
            </w:pPr>
            <w:r>
              <w:rPr>
                <w:b/>
              </w:rPr>
              <w:t>12(e)</w:t>
            </w:r>
          </w:p>
        </w:tc>
        <w:tc>
          <w:tcPr>
            <w:tcW w:w="5616" w:type="dxa"/>
          </w:tcPr>
          <w:p>
            <w:pPr>
              <w:spacing w:after="20"/>
            </w:pPr>
            <w:r>
              <w:t>Describe any sensitivity analyses.</w:t>
            </w:r>
          </w:p>
        </w:tc>
        <w:tc>
          <w:tcPr>
            <w:tcW w:w="3168" w:type="dxa"/>
          </w:tcPr>
          <w:p>
            <w:pPr>
              <w:spacing w:after="20"/>
            </w:pPr>
            <w:r>
              <w:t>p. 9, Definitions and variables; p. 12, Multidrug resistance; Table 4 (p. 15)</w:t>
            </w:r>
          </w:p>
        </w:tc>
        <w:tc>
          <w:tcPr>
            <w:tcW w:w="4536" w:type="dxa"/>
          </w:tcPr>
          <w:p>
            <w:pPr>
              <w:spacing w:after="20"/>
            </w:pPr>
            <w:r>
              <w:t>Four prespecified sensitivity analyses of the MDR definition are reported.</w:t>
            </w:r>
          </w:p>
        </w:tc>
      </w:tr>
      <w:tr>
        <w:trPr>
          <w:cantSplit/>
          <w:jc w:val="center"/>
        </w:trPr>
        <w:tc>
          <w:tcPr>
            <w:tcW w:w="792" w:type="dxa"/>
          </w:tcPr>
          <w:p>
            <w:pPr>
              <w:spacing w:after="20"/>
            </w:pPr>
            <w:r>
              <w:rPr>
                <w:b/>
              </w:rPr>
              <w:lastRenderedPageBreak/>
              <w:t>12.1</w:t>
            </w:r>
          </w:p>
        </w:tc>
        <w:tc>
          <w:tcPr>
            <w:tcW w:w="5616" w:type="dxa"/>
          </w:tcPr>
          <w:p>
            <w:pPr>
              <w:spacing w:after="20"/>
            </w:pPr>
            <w:r>
              <w:t>State how clustering or repeat isolates from the same patient were handled in the analysis.</w:t>
            </w:r>
          </w:p>
        </w:tc>
        <w:tc>
          <w:tcPr>
            <w:tcW w:w="3168" w:type="dxa"/>
          </w:tcPr>
          <w:p>
            <w:pPr>
              <w:spacing w:after="20"/>
            </w:pPr>
            <w:r>
              <w:t>p. 5, Participants; p. 10, Study flow</w:t>
            </w:r>
          </w:p>
        </w:tc>
        <w:tc>
          <w:tcPr>
            <w:tcW w:w="4536" w:type="dxa"/>
          </w:tcPr>
          <w:p>
            <w:pPr>
              <w:spacing w:after="20"/>
            </w:pPr>
            <w:r>
              <w:t>One isolate per child by design; 8 repeat isolates from the same treatment episode were excluded before analysis, so no within-patient clustering remains.</w:t>
            </w:r>
          </w:p>
        </w:tc>
      </w:tr>
      <w:tr>
        <w:trPr>
          <w:cantSplit/>
          <w:jc w:val="center"/>
        </w:trPr>
        <w:tc>
          <w:tcPr>
            <w:tcW w:w="14112" w:type="dxa"/>
            <w:gridSpan w:val="4"/>
          </w:tcPr>
          <w:p>
            <w:pPr>
              <w:spacing w:after="20"/>
            </w:pPr>
            <w:r>
              <w:rPr>
                <w:b/>
                <w:sz w:val="17"/>
              </w:rPr>
              <w:t>RESULTS</w:t>
            </w:r>
          </w:p>
        </w:tc>
      </w:tr>
      <w:tr>
        <w:trPr>
          <w:cantSplit/>
          <w:jc w:val="center"/>
        </w:trPr>
        <w:tc>
          <w:tcPr>
            <w:tcW w:w="792" w:type="dxa"/>
          </w:tcPr>
          <w:p>
            <w:pPr>
              <w:spacing w:after="20"/>
            </w:pPr>
            <w:r>
              <w:rPr>
                <w:b/>
              </w:rPr>
              <w:t>13</w:t>
            </w:r>
          </w:p>
        </w:tc>
        <w:tc>
          <w:tcPr>
            <w:tcW w:w="5616" w:type="dxa"/>
          </w:tcPr>
          <w:p>
            <w:pPr>
              <w:spacing w:after="20"/>
            </w:pPr>
            <w:r>
              <w:t>Report numbers of individuals at each stage of the study and reasons for non-participation; consider a flow diagram.</w:t>
            </w:r>
          </w:p>
        </w:tc>
        <w:tc>
          <w:tcPr>
            <w:tcW w:w="3168" w:type="dxa"/>
          </w:tcPr>
          <w:p>
            <w:pPr>
              <w:spacing w:after="20"/>
            </w:pPr>
            <w:r>
              <w:t>p. 10, Study flow; Figure 1</w:t>
            </w:r>
          </w:p>
        </w:tc>
        <w:tc>
          <w:tcPr>
            <w:tcW w:w="4536" w:type="dxa"/>
          </w:tcPr>
          <w:p>
            <w:pPr>
              <w:spacing w:after="20"/>
            </w:pPr>
            <w:r>
              <w:t>305 children cultured → 73 culture-confirmed → 15 excluded (8 repeat isolates, 5 immunodeficiency, 2 incomplete susceptibility results) → 58 analyzed.</w:t>
            </w:r>
          </w:p>
        </w:tc>
      </w:tr>
      <w:tr>
        <w:trPr>
          <w:cantSplit/>
          <w:jc w:val="center"/>
        </w:trPr>
        <w:tc>
          <w:tcPr>
            <w:tcW w:w="792" w:type="dxa"/>
          </w:tcPr>
          <w:p>
            <w:pPr>
              <w:spacing w:after="20"/>
            </w:pPr>
            <w:r>
              <w:rPr>
                <w:b/>
              </w:rPr>
              <w:t>14(a)</w:t>
            </w:r>
          </w:p>
        </w:tc>
        <w:tc>
          <w:tcPr>
            <w:tcW w:w="5616" w:type="dxa"/>
          </w:tcPr>
          <w:p>
            <w:pPr>
              <w:spacing w:after="20"/>
            </w:pPr>
            <w:r>
              <w:t>Give characteristics of study participants and information on exposures and potential confounders.</w:t>
            </w:r>
          </w:p>
        </w:tc>
        <w:tc>
          <w:tcPr>
            <w:tcW w:w="3168" w:type="dxa"/>
          </w:tcPr>
          <w:p>
            <w:pPr>
              <w:spacing w:after="20"/>
            </w:pPr>
            <w:r>
              <w:t>p. 10, Characteristics; Table 1 (p. 13)</w:t>
            </w:r>
          </w:p>
        </w:tc>
        <w:tc>
          <w:tcPr>
            <w:tcW w:w="4536" w:type="dxa"/>
          </w:tcPr>
          <w:p>
            <w:pPr>
              <w:spacing w:after="20"/>
            </w:pPr>
          </w:p>
        </w:tc>
      </w:tr>
      <w:tr>
        <w:trPr>
          <w:cantSplit/>
          <w:jc w:val="center"/>
        </w:trPr>
        <w:tc>
          <w:tcPr>
            <w:tcW w:w="792" w:type="dxa"/>
          </w:tcPr>
          <w:p>
            <w:pPr>
              <w:spacing w:after="20"/>
            </w:pPr>
            <w:r>
              <w:rPr>
                <w:b/>
              </w:rPr>
              <w:t>14(b)</w:t>
            </w:r>
          </w:p>
        </w:tc>
        <w:tc>
          <w:tcPr>
            <w:tcW w:w="5616" w:type="dxa"/>
          </w:tcPr>
          <w:p>
            <w:pPr>
              <w:spacing w:after="20"/>
            </w:pPr>
            <w:r>
              <w:t>Indicate the number of participants with missing data for each variable of interest.</w:t>
            </w:r>
          </w:p>
        </w:tc>
        <w:tc>
          <w:tcPr>
            <w:tcW w:w="3168" w:type="dxa"/>
          </w:tcPr>
          <w:p>
            <w:pPr>
              <w:spacing w:after="20"/>
            </w:pPr>
            <w:r>
              <w:t>Table 1 (p. 13); Table 2 (p. 13); Supplementary Table S1</w:t>
            </w:r>
          </w:p>
        </w:tc>
        <w:tc>
          <w:tcPr>
            <w:tcW w:w="4536" w:type="dxa"/>
          </w:tcPr>
          <w:p>
            <w:pPr>
              <w:spacing w:after="20"/>
            </w:pPr>
            <w:r>
              <w:t>Agent-specific denominators are given for every antimicrobial in Table 2 and at isolate level in Supplementary Table S1. No demographic variable had missing data.</w:t>
            </w:r>
          </w:p>
        </w:tc>
      </w:tr>
      <w:tr>
        <w:trPr>
          <w:cantSplit/>
          <w:jc w:val="center"/>
        </w:trPr>
        <w:tc>
          <w:tcPr>
            <w:tcW w:w="792" w:type="dxa"/>
          </w:tcPr>
          <w:p>
            <w:pPr>
              <w:spacing w:after="20"/>
            </w:pPr>
            <w:r>
              <w:rPr>
                <w:b/>
              </w:rPr>
              <w:t>15</w:t>
            </w:r>
          </w:p>
        </w:tc>
        <w:tc>
          <w:tcPr>
            <w:tcW w:w="5616" w:type="dxa"/>
          </w:tcPr>
          <w:p>
            <w:pPr>
              <w:spacing w:after="20"/>
            </w:pPr>
            <w:r>
              <w:t>Report numbers of outcome events or summary measures.</w:t>
            </w:r>
          </w:p>
        </w:tc>
        <w:tc>
          <w:tcPr>
            <w:tcW w:w="3168" w:type="dxa"/>
          </w:tcPr>
          <w:p>
            <w:pPr>
              <w:spacing w:after="20"/>
            </w:pPr>
            <w:r>
              <w:t>p. 10–12, Results; Tables 2–4 (p. 13–15)</w:t>
            </w:r>
          </w:p>
        </w:tc>
        <w:tc>
          <w:tcPr>
            <w:tcW w:w="4536" w:type="dxa"/>
          </w:tcPr>
          <w:p>
            <w:pPr>
              <w:spacing w:after="20"/>
            </w:pPr>
          </w:p>
        </w:tc>
      </w:tr>
      <w:tr>
        <w:trPr>
          <w:cantSplit/>
          <w:jc w:val="center"/>
        </w:trPr>
        <w:tc>
          <w:tcPr>
            <w:tcW w:w="792" w:type="dxa"/>
          </w:tcPr>
          <w:p>
            <w:pPr>
              <w:spacing w:after="20"/>
            </w:pPr>
            <w:r>
              <w:rPr>
                <w:b/>
              </w:rPr>
              <w:t>16(a)</w:t>
            </w:r>
          </w:p>
        </w:tc>
        <w:tc>
          <w:tcPr>
            <w:tcW w:w="5616" w:type="dxa"/>
          </w:tcPr>
          <w:p>
            <w:pPr>
              <w:spacing w:after="20"/>
            </w:pPr>
            <w:r>
              <w:t>Give unadjusted and, where applicable, confounder-adjusted estimates with their precision.</w:t>
            </w:r>
          </w:p>
        </w:tc>
        <w:tc>
          <w:tcPr>
            <w:tcW w:w="3168" w:type="dxa"/>
          </w:tcPr>
          <w:p>
            <w:pPr>
              <w:spacing w:after="20"/>
            </w:pPr>
            <w:r>
              <w:t>p. 13, Results; Table 5 (p. 15)</w:t>
            </w:r>
          </w:p>
        </w:tc>
        <w:tc>
          <w:tcPr>
            <w:tcW w:w="4536" w:type="dxa"/>
          </w:tcPr>
          <w:p>
            <w:pPr>
              <w:spacing w:after="20"/>
            </w:pPr>
            <w:r>
              <w:t>Unadjusted odds ratios with 95% confidence intervals. No adjusted estimates are presented, and the reason is stated.</w:t>
            </w:r>
          </w:p>
        </w:tc>
      </w:tr>
      <w:tr>
        <w:trPr>
          <w:cantSplit/>
          <w:jc w:val="center"/>
        </w:trPr>
        <w:tc>
          <w:tcPr>
            <w:tcW w:w="792" w:type="dxa"/>
          </w:tcPr>
          <w:p>
            <w:pPr>
              <w:spacing w:after="20"/>
            </w:pPr>
            <w:r>
              <w:rPr>
                <w:b/>
              </w:rPr>
              <w:t>16(b)</w:t>
            </w:r>
          </w:p>
        </w:tc>
        <w:tc>
          <w:tcPr>
            <w:tcW w:w="5616" w:type="dxa"/>
          </w:tcPr>
          <w:p>
            <w:pPr>
              <w:spacing w:after="20"/>
            </w:pPr>
            <w:r>
              <w:t>Report category boundaries when continuous variables were categorized.</w:t>
            </w:r>
          </w:p>
        </w:tc>
        <w:tc>
          <w:tcPr>
            <w:tcW w:w="3168" w:type="dxa"/>
          </w:tcPr>
          <w:p>
            <w:pPr>
              <w:spacing w:after="20"/>
            </w:pPr>
            <w:r>
              <w:t>Table 1 (p. 13); Table 5 (p. 15)</w:t>
            </w:r>
          </w:p>
        </w:tc>
        <w:tc>
          <w:tcPr>
            <w:tcW w:w="4536" w:type="dxa"/>
          </w:tcPr>
          <w:p>
            <w:pPr>
              <w:spacing w:after="20"/>
            </w:pPr>
            <w:r>
              <w:t>Age bands (&lt;2, 2–5, &gt;5 years) and the ≤5 versus &gt;5 years dichotomy are stated in the table stubs.</w:t>
            </w:r>
          </w:p>
        </w:tc>
      </w:tr>
      <w:tr>
        <w:trPr>
          <w:cantSplit/>
          <w:jc w:val="center"/>
        </w:trPr>
        <w:tc>
          <w:tcPr>
            <w:tcW w:w="792" w:type="dxa"/>
          </w:tcPr>
          <w:p>
            <w:pPr>
              <w:spacing w:after="20"/>
            </w:pPr>
            <w:r>
              <w:rPr>
                <w:b/>
              </w:rPr>
              <w:t>16(c)</w:t>
            </w:r>
          </w:p>
        </w:tc>
        <w:tc>
          <w:tcPr>
            <w:tcW w:w="5616" w:type="dxa"/>
          </w:tcPr>
          <w:p>
            <w:pPr>
              <w:spacing w:after="20"/>
            </w:pPr>
            <w:r>
              <w:t>If relevant, consider translating estimates of relative risk into absolute risk for a meaningful time period.</w:t>
            </w:r>
          </w:p>
        </w:tc>
        <w:tc>
          <w:tcPr>
            <w:tcW w:w="3168" w:type="dxa"/>
          </w:tcPr>
          <w:p>
            <w:pPr>
              <w:spacing w:after="20"/>
            </w:pPr>
            <w:r>
              <w:t>Not applicable</w:t>
            </w:r>
          </w:p>
        </w:tc>
        <w:tc>
          <w:tcPr>
            <w:tcW w:w="4536" w:type="dxa"/>
          </w:tcPr>
          <w:p>
            <w:pPr>
              <w:spacing w:after="20"/>
            </w:pPr>
            <w:r>
              <w:t>Prevalence study; absolute proportions with confidence intervals are the primary measure throughout.</w:t>
            </w:r>
          </w:p>
        </w:tc>
      </w:tr>
      <w:tr>
        <w:trPr>
          <w:cantSplit/>
          <w:jc w:val="center"/>
        </w:trPr>
        <w:tc>
          <w:tcPr>
            <w:tcW w:w="792" w:type="dxa"/>
          </w:tcPr>
          <w:p>
            <w:pPr>
              <w:spacing w:after="20"/>
            </w:pPr>
            <w:r>
              <w:rPr>
                <w:b/>
              </w:rPr>
              <w:t>17</w:t>
            </w:r>
          </w:p>
        </w:tc>
        <w:tc>
          <w:tcPr>
            <w:tcW w:w="5616" w:type="dxa"/>
          </w:tcPr>
          <w:p>
            <w:pPr>
              <w:spacing w:after="20"/>
            </w:pPr>
            <w:r>
              <w:t>Report other analyses done, such as analyses of subgroups and interactions and sensitivity analyses.</w:t>
            </w:r>
          </w:p>
        </w:tc>
        <w:tc>
          <w:tcPr>
            <w:tcW w:w="3168" w:type="dxa"/>
          </w:tcPr>
          <w:p>
            <w:pPr>
              <w:spacing w:after="20"/>
            </w:pPr>
            <w:r>
              <w:t>p. 11–12, Results; Table 4 (p. 15); Supplementary Table S3</w:t>
            </w:r>
          </w:p>
        </w:tc>
        <w:tc>
          <w:tcPr>
            <w:tcW w:w="4536" w:type="dxa"/>
          </w:tcPr>
          <w:p>
            <w:pPr>
              <w:spacing w:after="20"/>
            </w:pPr>
            <w:r>
              <w:t>Four sensitivity analyses of the MDR definition; prespecified subgroup comparisons; year-stratified results.</w:t>
            </w:r>
          </w:p>
        </w:tc>
      </w:tr>
      <w:tr>
        <w:trPr>
          <w:cantSplit/>
          <w:jc w:val="center"/>
        </w:trPr>
        <w:tc>
          <w:tcPr>
            <w:tcW w:w="792" w:type="dxa"/>
          </w:tcPr>
          <w:p>
            <w:pPr>
              <w:spacing w:after="20"/>
            </w:pPr>
            <w:r>
              <w:rPr>
                <w:b/>
              </w:rPr>
              <w:t>17.1</w:t>
            </w:r>
          </w:p>
        </w:tc>
        <w:tc>
          <w:tcPr>
            <w:tcW w:w="5616" w:type="dxa"/>
          </w:tcPr>
          <w:p>
            <w:pPr>
              <w:spacing w:after="20"/>
            </w:pPr>
            <w:r>
              <w:t>Report any analysis examining whether the resistance estimate depends on the definition of resistance used.</w:t>
            </w:r>
          </w:p>
        </w:tc>
        <w:tc>
          <w:tcPr>
            <w:tcW w:w="3168" w:type="dxa"/>
          </w:tcPr>
          <w:p>
            <w:pPr>
              <w:spacing w:after="20"/>
            </w:pPr>
            <w:r>
              <w:t>p. 12, Multidrug resistance; Table 4 (p. 15)</w:t>
            </w:r>
          </w:p>
        </w:tc>
        <w:tc>
          <w:tcPr>
            <w:tcW w:w="4536" w:type="dxa"/>
          </w:tcPr>
          <w:p>
            <w:pPr>
              <w:spacing w:after="20"/>
            </w:pPr>
            <w:r>
              <w:t>Central finding: prevalence moves between 62.1% and 89.7% according to which agents are counted, and whether the surrogate ampicillin result is included. The organism-appropriate primary definition gives 65.5%.</w:t>
            </w:r>
          </w:p>
        </w:tc>
      </w:tr>
      <w:tr>
        <w:trPr>
          <w:cantSplit/>
          <w:jc w:val="center"/>
        </w:trPr>
        <w:tc>
          <w:tcPr>
            <w:tcW w:w="792" w:type="dxa"/>
          </w:tcPr>
          <w:p>
            <w:pPr>
              <w:spacing w:after="20"/>
            </w:pPr>
            <w:r>
              <w:rPr>
                <w:b/>
              </w:rPr>
              <w:t>17.2</w:t>
            </w:r>
          </w:p>
        </w:tc>
        <w:tc>
          <w:tcPr>
            <w:tcW w:w="5616" w:type="dxa"/>
          </w:tcPr>
          <w:p>
            <w:pPr>
              <w:spacing w:after="20"/>
            </w:pPr>
            <w:r>
              <w:t>Report resistance trends over the study period if more than one period is covered.</w:t>
            </w:r>
          </w:p>
        </w:tc>
        <w:tc>
          <w:tcPr>
            <w:tcW w:w="3168" w:type="dxa"/>
          </w:tcPr>
          <w:p>
            <w:pPr>
              <w:spacing w:after="20"/>
            </w:pPr>
            <w:r>
              <w:t>p. 23, Supplementary Materials; Supplementary Table S3</w:t>
            </w:r>
          </w:p>
        </w:tc>
        <w:tc>
          <w:tcPr>
            <w:tcW w:w="4536" w:type="dxa"/>
          </w:tcPr>
          <w:p>
            <w:pPr>
              <w:spacing w:after="20"/>
            </w:pPr>
            <w:r>
              <w:t>70.6% (2022), 60.9% (2023), 66.7% (2024). Confidence intervals overlap completely and no temporal trend is inferred.</w:t>
            </w:r>
          </w:p>
        </w:tc>
      </w:tr>
      <w:tr>
        <w:trPr>
          <w:cantSplit/>
          <w:jc w:val="center"/>
        </w:trPr>
        <w:tc>
          <w:tcPr>
            <w:tcW w:w="14112" w:type="dxa"/>
            <w:gridSpan w:val="4"/>
          </w:tcPr>
          <w:p>
            <w:pPr>
              <w:spacing w:after="20"/>
            </w:pPr>
            <w:r>
              <w:rPr>
                <w:b/>
                <w:sz w:val="17"/>
              </w:rPr>
              <w:t>DISCUSSION</w:t>
            </w:r>
          </w:p>
        </w:tc>
      </w:tr>
      <w:tr>
        <w:trPr>
          <w:cantSplit/>
          <w:jc w:val="center"/>
        </w:trPr>
        <w:tc>
          <w:tcPr>
            <w:tcW w:w="792" w:type="dxa"/>
          </w:tcPr>
          <w:p>
            <w:pPr>
              <w:spacing w:after="20"/>
            </w:pPr>
            <w:r>
              <w:rPr>
                <w:b/>
              </w:rPr>
              <w:t>18</w:t>
            </w:r>
          </w:p>
        </w:tc>
        <w:tc>
          <w:tcPr>
            <w:tcW w:w="5616" w:type="dxa"/>
          </w:tcPr>
          <w:p>
            <w:pPr>
              <w:spacing w:after="20"/>
            </w:pPr>
            <w:r>
              <w:t>Summarize key results with reference to study objectives.</w:t>
            </w:r>
          </w:p>
        </w:tc>
        <w:tc>
          <w:tcPr>
            <w:tcW w:w="3168" w:type="dxa"/>
          </w:tcPr>
          <w:p>
            <w:pPr>
              <w:spacing w:after="20"/>
            </w:pPr>
            <w:r>
              <w:t>p. 16, Discussion, para 1</w:t>
            </w:r>
          </w:p>
        </w:tc>
        <w:tc>
          <w:tcPr>
            <w:tcW w:w="4536" w:type="dxa"/>
          </w:tcPr>
          <w:p>
            <w:pPr>
              <w:spacing w:after="20"/>
            </w:pPr>
          </w:p>
        </w:tc>
      </w:tr>
      <w:tr>
        <w:trPr>
          <w:cantSplit/>
          <w:jc w:val="center"/>
        </w:trPr>
        <w:tc>
          <w:tcPr>
            <w:tcW w:w="792" w:type="dxa"/>
          </w:tcPr>
          <w:p>
            <w:pPr>
              <w:spacing w:after="20"/>
            </w:pPr>
            <w:r>
              <w:rPr>
                <w:b/>
              </w:rPr>
              <w:t>19</w:t>
            </w:r>
          </w:p>
        </w:tc>
        <w:tc>
          <w:tcPr>
            <w:tcW w:w="5616" w:type="dxa"/>
          </w:tcPr>
          <w:p>
            <w:pPr>
              <w:spacing w:after="20"/>
            </w:pPr>
            <w:r>
              <w:t>Discuss limitations, taking into account sources of potential bias or imprecision, and both direction and magnitude of any potential bias.</w:t>
            </w:r>
          </w:p>
        </w:tc>
        <w:tc>
          <w:tcPr>
            <w:tcW w:w="3168" w:type="dxa"/>
          </w:tcPr>
          <w:p>
            <w:pPr>
              <w:spacing w:after="20"/>
            </w:pPr>
            <w:r>
              <w:t>p. 19, Discussion (limitations)</w:t>
            </w:r>
          </w:p>
        </w:tc>
        <w:tc>
          <w:tcPr>
            <w:tcW w:w="4536" w:type="dxa"/>
          </w:tcPr>
          <w:p>
            <w:pPr>
              <w:spacing w:after="20"/>
            </w:pPr>
            <w:r>
              <w:t>Direction of bias is stated, not merely acknowledged: exclusion of immunocompromised children, omission of trimethoprim–sulfamethoxazole, and clinically directed testing all bias the MDR estimate downward.</w:t>
            </w:r>
          </w:p>
        </w:tc>
      </w:tr>
      <w:tr>
        <w:trPr>
          <w:cantSplit/>
          <w:jc w:val="center"/>
        </w:trPr>
        <w:tc>
          <w:tcPr>
            <w:tcW w:w="792" w:type="dxa"/>
          </w:tcPr>
          <w:p>
            <w:pPr>
              <w:spacing w:after="20"/>
            </w:pPr>
            <w:r>
              <w:rPr>
                <w:b/>
              </w:rPr>
              <w:t>19.1</w:t>
            </w:r>
          </w:p>
        </w:tc>
        <w:tc>
          <w:tcPr>
            <w:tcW w:w="5616" w:type="dxa"/>
          </w:tcPr>
          <w:p>
            <w:pPr>
              <w:spacing w:after="20"/>
            </w:pPr>
            <w:r>
              <w:t>Discuss limitations specific to the ascertainment of resistance, including the availability of primary quantitative measurements.</w:t>
            </w:r>
          </w:p>
        </w:tc>
        <w:tc>
          <w:tcPr>
            <w:tcW w:w="3168" w:type="dxa"/>
          </w:tcPr>
          <w:p>
            <w:pPr>
              <w:spacing w:after="20"/>
            </w:pPr>
            <w:r>
              <w:t>p. 7, Microbiological methods; p. 19, Discussion (limitations)</w:t>
            </w:r>
          </w:p>
        </w:tc>
        <w:tc>
          <w:tcPr>
            <w:tcW w:w="4536" w:type="dxa"/>
          </w:tcPr>
          <w:p>
            <w:pPr>
              <w:spacing w:after="20"/>
            </w:pPr>
            <w:r>
              <w:t>Numerical MIC values and zone diameters were not transferred to the study database. MIC50 and MIC90 cannot be reported, categorical assignments cannot be independently re-derived, and results cannot be re-interpreted under a different CLSI edition. These are described as legacy laboratory reports rather than a re-verifiable dataset.</w:t>
            </w:r>
          </w:p>
        </w:tc>
      </w:tr>
      <w:tr>
        <w:trPr>
          <w:cantSplit/>
          <w:jc w:val="center"/>
        </w:trPr>
        <w:tc>
          <w:tcPr>
            <w:tcW w:w="792" w:type="dxa"/>
          </w:tcPr>
          <w:p>
            <w:pPr>
              <w:spacing w:after="20"/>
            </w:pPr>
            <w:r>
              <w:rPr>
                <w:b/>
              </w:rPr>
              <w:t>20</w:t>
            </w:r>
          </w:p>
        </w:tc>
        <w:tc>
          <w:tcPr>
            <w:tcW w:w="5616" w:type="dxa"/>
          </w:tcPr>
          <w:p>
            <w:pPr>
              <w:spacing w:after="20"/>
            </w:pPr>
            <w:r>
              <w:t>Give a cautious overall interpretation considering objectives, limitations, multiplicity of analyses, results from similar studies and other relevant evidence.</w:t>
            </w:r>
          </w:p>
        </w:tc>
        <w:tc>
          <w:tcPr>
            <w:tcW w:w="3168" w:type="dxa"/>
          </w:tcPr>
          <w:p>
            <w:pPr>
              <w:spacing w:after="20"/>
            </w:pPr>
            <w:r>
              <w:t>p. 16–19, Discussion</w:t>
            </w:r>
          </w:p>
        </w:tc>
        <w:tc>
          <w:tcPr>
            <w:tcW w:w="4536" w:type="dxa"/>
          </w:tcPr>
          <w:p>
            <w:pPr>
              <w:spacing w:after="20"/>
            </w:pPr>
            <w:r>
              <w:rPr>
                <w:color w:val="FF0000"/>
                <w:highlight w:val="green"/>
              </w:rPr>
              <w:t>One exploratory</w:t>
            </w:r>
            <w:r>
              <w:t xml:space="preserve"> association</w:t>
            </w:r>
            <w:r>
              <w:rPr>
                <w:color w:val="FF0000"/>
                <w:highlight w:val="green"/>
              </w:rPr>
              <w:t xml:space="preserve"> (absence of an underlying condition) remained after Holm adjustment, but it depends on a zero cell in five children and is interpreted as hypothesis-generating; pneumococcal vaccination did not remain associated after</w:t>
            </w:r>
            <w:r>
              <w:t xml:space="preserve"> multiplicity</w:t>
            </w:r>
            <w:r>
              <w:rPr>
                <w:color w:val="FF0000"/>
                <w:highlight w:val="green"/>
              </w:rPr>
              <w:t xml:space="preserve"> adjustment.</w:t>
            </w:r>
          </w:p>
        </w:tc>
      </w:tr>
      <w:tr>
        <w:trPr>
          <w:cantSplit/>
          <w:jc w:val="center"/>
        </w:trPr>
        <w:tc>
          <w:tcPr>
            <w:tcW w:w="792" w:type="dxa"/>
          </w:tcPr>
          <w:p>
            <w:pPr>
              <w:spacing w:after="20"/>
            </w:pPr>
            <w:r>
              <w:rPr>
                <w:b/>
              </w:rPr>
              <w:t>21</w:t>
            </w:r>
          </w:p>
        </w:tc>
        <w:tc>
          <w:tcPr>
            <w:tcW w:w="5616" w:type="dxa"/>
          </w:tcPr>
          <w:p>
            <w:pPr>
              <w:spacing w:after="20"/>
            </w:pPr>
            <w:r>
              <w:t>Discuss the generalisability (external validity) of the study results.</w:t>
            </w:r>
          </w:p>
        </w:tc>
        <w:tc>
          <w:tcPr>
            <w:tcW w:w="3168" w:type="dxa"/>
          </w:tcPr>
          <w:p>
            <w:pPr>
              <w:spacing w:after="20"/>
            </w:pPr>
            <w:r>
              <w:t>p. 19, Discussion (limitations); p. 20, Conclusion</w:t>
            </w:r>
          </w:p>
        </w:tc>
        <w:tc>
          <w:tcPr>
            <w:tcW w:w="4536" w:type="dxa"/>
          </w:tcPr>
          <w:p>
            <w:pPr>
              <w:spacing w:after="20"/>
            </w:pPr>
            <w:r>
              <w:t>Single-center tertiary referral series; generalisability is explicitly constrained.</w:t>
            </w:r>
          </w:p>
        </w:tc>
      </w:tr>
      <w:tr>
        <w:trPr>
          <w:cantSplit/>
          <w:jc w:val="center"/>
        </w:trPr>
        <w:tc>
          <w:tcPr>
            <w:tcW w:w="792" w:type="dxa"/>
          </w:tcPr>
          <w:p>
            <w:pPr>
              <w:spacing w:after="20"/>
            </w:pPr>
            <w:r>
              <w:rPr>
                <w:b/>
              </w:rPr>
              <w:t>21.1</w:t>
            </w:r>
          </w:p>
        </w:tc>
        <w:tc>
          <w:tcPr>
            <w:tcW w:w="5616" w:type="dxa"/>
          </w:tcPr>
          <w:p>
            <w:pPr>
              <w:spacing w:after="20"/>
            </w:pPr>
            <w:r>
              <w:t>Discuss whether the findings are transferable to other settings given local resistance epidemiology, prescribing practice and vaccine coverage.</w:t>
            </w:r>
          </w:p>
        </w:tc>
        <w:tc>
          <w:tcPr>
            <w:tcW w:w="3168" w:type="dxa"/>
          </w:tcPr>
          <w:p>
            <w:pPr>
              <w:spacing w:after="20"/>
            </w:pPr>
            <w:r>
              <w:t>p. 18, Discussion (vaccination); p. 19, Discussion (transferability); p. 20, Conclusion</w:t>
            </w:r>
          </w:p>
        </w:tc>
        <w:tc>
          <w:tcPr>
            <w:tcW w:w="4536" w:type="dxa"/>
          </w:tcPr>
          <w:p>
            <w:pPr>
              <w:spacing w:after="20"/>
            </w:pPr>
            <w:r>
              <w:t>The manuscript states that pneumococcal vaccination in this setting is privately purchased and therefore marks household income and access to care, and that no inference about vaccination policy is drawn from these data.</w:t>
            </w:r>
          </w:p>
        </w:tc>
      </w:tr>
      <w:tr>
        <w:trPr>
          <w:cantSplit/>
          <w:jc w:val="center"/>
        </w:trPr>
        <w:tc>
          <w:tcPr>
            <w:tcW w:w="14112" w:type="dxa"/>
            <w:gridSpan w:val="4"/>
          </w:tcPr>
          <w:p>
            <w:pPr>
              <w:spacing w:after="20"/>
            </w:pPr>
            <w:r>
              <w:rPr>
                <w:b/>
                <w:sz w:val="17"/>
              </w:rPr>
              <w:t>OTHER INFORMATION</w:t>
            </w:r>
          </w:p>
        </w:tc>
      </w:tr>
      <w:tr>
        <w:trPr>
          <w:cantSplit/>
          <w:jc w:val="center"/>
        </w:trPr>
        <w:tc>
          <w:tcPr>
            <w:tcW w:w="792" w:type="dxa"/>
          </w:tcPr>
          <w:p>
            <w:pPr>
              <w:spacing w:after="20"/>
            </w:pPr>
            <w:r>
              <w:rPr>
                <w:b/>
              </w:rPr>
              <w:t>22</w:t>
            </w:r>
          </w:p>
        </w:tc>
        <w:tc>
          <w:tcPr>
            <w:tcW w:w="5616" w:type="dxa"/>
          </w:tcPr>
          <w:p>
            <w:pPr>
              <w:spacing w:after="20"/>
            </w:pPr>
            <w:r>
              <w:t>Give the source of funding and the role of the funders for the present study and, if applicable, for the original study on which the present article is based.</w:t>
            </w:r>
          </w:p>
        </w:tc>
        <w:tc>
          <w:tcPr>
            <w:tcW w:w="3168" w:type="dxa"/>
          </w:tcPr>
          <w:p>
            <w:pPr>
              <w:spacing w:after="20"/>
            </w:pPr>
            <w:r>
              <w:t>p. 19–20, Declarations</w:t>
            </w:r>
          </w:p>
        </w:tc>
        <w:tc>
          <w:tcPr>
            <w:tcW w:w="4536" w:type="dxa"/>
          </w:tcPr>
          <w:p>
            <w:pPr>
              <w:spacing w:after="20"/>
            </w:pPr>
          </w:p>
        </w:tc>
      </w:tr>
      <w:tr>
        <w:trPr>
          <w:cantSplit/>
          <w:jc w:val="center"/>
        </w:trPr>
        <w:tc>
          <w:tcPr>
            <w:tcW w:w="792" w:type="dxa"/>
          </w:tcPr>
          <w:p>
            <w:pPr>
              <w:spacing w:after="20"/>
            </w:pPr>
            <w:r>
              <w:rPr>
                <w:b/>
              </w:rPr>
              <w:lastRenderedPageBreak/>
              <w:t>22.1</w:t>
            </w:r>
          </w:p>
        </w:tc>
        <w:tc>
          <w:tcPr>
            <w:tcW w:w="5616" w:type="dxa"/>
          </w:tcPr>
          <w:p>
            <w:pPr>
              <w:spacing w:after="20"/>
            </w:pPr>
            <w:r>
              <w:t>State whether infection-control interventions or antimicrobial stewardship activities were introduced or changed during the study period in a way that could confound the results.</w:t>
            </w:r>
          </w:p>
        </w:tc>
        <w:tc>
          <w:tcPr>
            <w:tcW w:w="3168" w:type="dxa"/>
          </w:tcPr>
          <w:p>
            <w:pPr>
              <w:spacing w:after="20"/>
            </w:pPr>
            <w:r>
              <w:t>p. 4, Materials and Methods, para 2; p. 20, Discussion (strengths)</w:t>
            </w:r>
          </w:p>
        </w:tc>
        <w:tc>
          <w:tcPr>
            <w:tcW w:w="4536" w:type="dxa"/>
          </w:tcPr>
          <w:p>
            <w:pPr>
              <w:spacing w:after="20"/>
            </w:pPr>
            <w:r>
              <w:t>No formal hospital-wide antimicrobial stewardship program was in operation at any point in the study period, and no stewardship intervention, restriction policy, or formulary change was implemented while the study was under way. Empirical prescribing followed attending-physician judgment within national pediatric guidelines. The manuscript states that these data are therefore not evidence about the effect of stewardship, which was not evaluated.</w:t>
            </w:r>
          </w:p>
        </w:tc>
      </w:tr>
    </w:tbl>
    <w:p/>
    <w:p>
      <w:pPr>
        <w:spacing w:after="60"/>
      </w:pPr>
      <w:r>
        <w:rPr>
          <w:b/>
          <w:sz w:val="18"/>
        </w:rPr>
        <w:t>Notes on completion</w:t>
      </w:r>
    </w:p>
    <w:p>
      <w:pPr>
        <w:spacing w:after="60"/>
      </w:pPr>
      <w:r>
        <w:t>Shaded rows are antimicrobial-stewardship extension items; unshaded rows are the base STROBE cross-sectional checklist. Extension items are grouped under the base STROBE item they qualify and are numbered accordingly; authors should confirm the numbering against Table 3 of Tacconelli et al. before submission, since journals may request the publisher’s own layout.</w:t>
      </w:r>
    </w:p>
    <w:p>
      <w:pPr>
        <w:spacing w:after="60"/>
      </w:pPr>
      <w:r>
        <w:t>Items 5.2, 5.3 and 22.1 concern the institutional context of the study — whether the period was endemic or included an outbreak, the infection-control measures in force, and whether any stewardship activity was introduced or changed during 2022–2024. These were confirmed by the investigators and are now reported in the second paragraph of Materials and Methods: an endemic period, routine standard precautions applied unchanged, and no formal antimicrobial stewardship program in operation or introduced at any point. Every row of this checklist is therefore either answered with a location in the manuscript or marked not applicable with a stated reason.</w:t>
      </w:r>
    </w:p>
    <w:p>
      <w:pPr>
        <w:spacing w:after="60"/>
      </w:pPr>
      <w:r>
        <w:t>Items marked Not applicable are annotated with the reason. They arise because this study characterizes resistance prevalence and does not analyse antimicrobial consumption against resistance development, which is the study type the extension was derived from. Marking them not applicable with a stated reason is preferable to leaving them blank or claiming compliance.</w:t>
      </w:r>
    </w:p>
    <w:p>
      <w:pPr>
        <w:spacing w:after="60"/>
      </w:pPr>
      <w:r>
        <w:t>Page numbers correspond to the revised manuscript as circulated and should be re-checked against the final typeset proof.</w:t>
      </w:r>
    </w:p>
    <w:p/>
    <w:sectPr>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C3D9AB5-2A37-4FA5-9F9C-0901C23C7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1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5542</Words>
  <Characters>31592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2013-12-23T23:15:00Z</dcterms:created>
  <dcterms:modified xsi:type="dcterms:W3CDTF">2026-09-17T02:32:00Z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ad0a8d17-456f-4208-b063-d3b24fc25778</vt:lpwstr>
  </property>
</Properties>
</file>